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E30A7A0" w14:textId="77777777" w:rsidR="004C29CA" w:rsidRPr="007A0D8E" w:rsidRDefault="004C29CA" w:rsidP="0000790C">
      <w:pPr>
        <w:ind w:right="-35"/>
        <w:rPr>
          <w:rFonts w:ascii="Bookman Old Style" w:hAnsi="Bookman Old Style" w:cs="Arial"/>
          <w:b/>
          <w:sz w:val="28"/>
          <w:szCs w:val="28"/>
          <w:lang w:val="el-GR"/>
        </w:rPr>
      </w:pPr>
      <w:r w:rsidRPr="007A0D8E">
        <w:rPr>
          <w:rFonts w:ascii="Bookman Old Style" w:hAnsi="Bookman Old Style" w:cs="Arial"/>
          <w:b/>
          <w:sz w:val="28"/>
          <w:szCs w:val="28"/>
          <w:lang w:val="el-GR"/>
        </w:rPr>
        <w:t>ΑΝΩΤΑΤΟ ΔΙΚΑΣΤΗΡΙΟ ΚΥΠΡΟΥ</w:t>
      </w:r>
    </w:p>
    <w:p w14:paraId="1B9B6724" w14:textId="77777777" w:rsidR="004C29CA" w:rsidRPr="007A0D8E" w:rsidRDefault="004C29CA" w:rsidP="0000790C">
      <w:pPr>
        <w:ind w:right="-35"/>
        <w:rPr>
          <w:rFonts w:ascii="Bookman Old Style" w:hAnsi="Bookman Old Style" w:cs="Arial"/>
          <w:b/>
          <w:sz w:val="28"/>
          <w:szCs w:val="28"/>
          <w:lang w:val="el-GR"/>
        </w:rPr>
      </w:pPr>
      <w:r w:rsidRPr="007A0D8E">
        <w:rPr>
          <w:rFonts w:ascii="Bookman Old Style" w:hAnsi="Bookman Old Style" w:cs="Arial"/>
          <w:b/>
          <w:sz w:val="28"/>
          <w:szCs w:val="28"/>
          <w:lang w:val="el-GR"/>
        </w:rPr>
        <w:t>ΠΡΩΤΟΒΑΘΜΙΑ ΔΙΚΑΙΟΔΟΣΙΑ</w:t>
      </w:r>
    </w:p>
    <w:p w14:paraId="33D08487" w14:textId="77777777" w:rsidR="004C29CA" w:rsidRPr="007A0D8E" w:rsidRDefault="004C29CA" w:rsidP="0000790C">
      <w:pPr>
        <w:ind w:right="-35"/>
        <w:rPr>
          <w:rFonts w:ascii="Bookman Old Style" w:hAnsi="Bookman Old Style" w:cs="Arial"/>
          <w:b/>
          <w:sz w:val="28"/>
          <w:szCs w:val="28"/>
          <w:lang w:val="el-GR"/>
        </w:rPr>
      </w:pPr>
    </w:p>
    <w:p w14:paraId="61790E93" w14:textId="77777777" w:rsidR="004C29CA" w:rsidRPr="007A0D8E" w:rsidRDefault="004C29CA" w:rsidP="0000790C">
      <w:pPr>
        <w:ind w:right="-35"/>
        <w:jc w:val="right"/>
        <w:rPr>
          <w:rFonts w:ascii="Bookman Old Style" w:hAnsi="Bookman Old Style" w:cs="Arial"/>
          <w:b/>
          <w:i/>
          <w:iCs/>
          <w:sz w:val="28"/>
          <w:szCs w:val="28"/>
          <w:lang w:val="el-GR"/>
        </w:rPr>
      </w:pPr>
    </w:p>
    <w:p w14:paraId="7C310DF1" w14:textId="38627B1D" w:rsidR="004C29CA" w:rsidRPr="007A0D8E" w:rsidRDefault="001133BB" w:rsidP="0000790C">
      <w:pPr>
        <w:ind w:right="-35"/>
        <w:jc w:val="right"/>
        <w:rPr>
          <w:rFonts w:ascii="Bookman Old Style" w:hAnsi="Bookman Old Style"/>
          <w:sz w:val="28"/>
          <w:szCs w:val="28"/>
          <w:lang w:val="el-GR"/>
        </w:rPr>
      </w:pPr>
      <w:r>
        <w:rPr>
          <w:rFonts w:ascii="Bookman Old Style" w:hAnsi="Bookman Old Style" w:cs="Arial"/>
          <w:b/>
          <w:i/>
          <w:iCs/>
          <w:sz w:val="28"/>
          <w:szCs w:val="28"/>
          <w:lang w:val="el-GR"/>
        </w:rPr>
        <w:t xml:space="preserve">(Πολιτική Αίτηση Αρ. </w:t>
      </w:r>
      <w:r w:rsidR="00A92B4F" w:rsidRPr="00C52935">
        <w:rPr>
          <w:rFonts w:ascii="Bookman Old Style" w:hAnsi="Bookman Old Style" w:cs="Arial"/>
          <w:b/>
          <w:i/>
          <w:iCs/>
          <w:sz w:val="28"/>
          <w:szCs w:val="28"/>
          <w:lang w:val="el-GR"/>
        </w:rPr>
        <w:t>49</w:t>
      </w:r>
      <w:r w:rsidR="004C29CA" w:rsidRPr="007A0D8E">
        <w:rPr>
          <w:rFonts w:ascii="Bookman Old Style" w:hAnsi="Bookman Old Style" w:cs="Arial"/>
          <w:b/>
          <w:i/>
          <w:iCs/>
          <w:sz w:val="28"/>
          <w:szCs w:val="28"/>
          <w:lang w:val="el-GR"/>
        </w:rPr>
        <w:t>/20</w:t>
      </w:r>
      <w:r>
        <w:rPr>
          <w:rFonts w:ascii="Bookman Old Style" w:hAnsi="Bookman Old Style" w:cs="Arial"/>
          <w:b/>
          <w:i/>
          <w:iCs/>
          <w:sz w:val="28"/>
          <w:szCs w:val="28"/>
          <w:lang w:val="el-GR"/>
        </w:rPr>
        <w:t>2</w:t>
      </w:r>
      <w:r w:rsidR="00A92B4F" w:rsidRPr="00C52935">
        <w:rPr>
          <w:rFonts w:ascii="Bookman Old Style" w:hAnsi="Bookman Old Style" w:cs="Arial"/>
          <w:b/>
          <w:i/>
          <w:iCs/>
          <w:sz w:val="28"/>
          <w:szCs w:val="28"/>
          <w:lang w:val="el-GR"/>
        </w:rPr>
        <w:t>4</w:t>
      </w:r>
      <w:r w:rsidR="004C29CA" w:rsidRPr="007A0D8E">
        <w:rPr>
          <w:rFonts w:ascii="Bookman Old Style" w:hAnsi="Bookman Old Style" w:cs="Arial"/>
          <w:b/>
          <w:i/>
          <w:iCs/>
          <w:sz w:val="28"/>
          <w:szCs w:val="28"/>
          <w:lang w:val="el-GR"/>
        </w:rPr>
        <w:t>)</w:t>
      </w:r>
    </w:p>
    <w:p w14:paraId="00F0D004" w14:textId="3F957853" w:rsidR="004C29CA" w:rsidRPr="00C40E23" w:rsidRDefault="00724C01" w:rsidP="0000790C">
      <w:pPr>
        <w:ind w:right="-35"/>
        <w:jc w:val="center"/>
        <w:rPr>
          <w:rFonts w:ascii="Bookman Old Style" w:hAnsi="Bookman Old Style" w:cs="Arial"/>
          <w:b/>
          <w:bCs/>
          <w:i/>
          <w:iCs/>
          <w:sz w:val="28"/>
          <w:szCs w:val="28"/>
          <w:lang w:val="el-GR"/>
        </w:rPr>
      </w:pPr>
      <w:r>
        <w:rPr>
          <w:rFonts w:ascii="Bookman Old Style" w:hAnsi="Bookman Old Style" w:cs="Arial"/>
          <w:i/>
          <w:iCs/>
          <w:sz w:val="28"/>
          <w:szCs w:val="28"/>
          <w:lang w:val="el-GR"/>
        </w:rPr>
        <w:tab/>
      </w:r>
      <w:r>
        <w:rPr>
          <w:rFonts w:ascii="Bookman Old Style" w:hAnsi="Bookman Old Style" w:cs="Arial"/>
          <w:i/>
          <w:iCs/>
          <w:sz w:val="28"/>
          <w:szCs w:val="28"/>
          <w:lang w:val="el-GR"/>
        </w:rPr>
        <w:tab/>
      </w:r>
      <w:r>
        <w:rPr>
          <w:rFonts w:ascii="Bookman Old Style" w:hAnsi="Bookman Old Style" w:cs="Arial"/>
          <w:i/>
          <w:iCs/>
          <w:sz w:val="28"/>
          <w:szCs w:val="28"/>
          <w:lang w:val="el-GR"/>
        </w:rPr>
        <w:tab/>
      </w:r>
      <w:r>
        <w:rPr>
          <w:rFonts w:ascii="Bookman Old Style" w:hAnsi="Bookman Old Style" w:cs="Arial"/>
          <w:i/>
          <w:iCs/>
          <w:sz w:val="28"/>
          <w:szCs w:val="28"/>
          <w:lang w:val="el-GR"/>
        </w:rPr>
        <w:tab/>
      </w:r>
      <w:r>
        <w:rPr>
          <w:rFonts w:ascii="Bookman Old Style" w:hAnsi="Bookman Old Style" w:cs="Arial"/>
          <w:i/>
          <w:iCs/>
          <w:sz w:val="28"/>
          <w:szCs w:val="28"/>
          <w:lang w:val="el-GR"/>
        </w:rPr>
        <w:tab/>
      </w:r>
      <w:r>
        <w:rPr>
          <w:rFonts w:ascii="Bookman Old Style" w:hAnsi="Bookman Old Style" w:cs="Arial"/>
          <w:i/>
          <w:iCs/>
          <w:sz w:val="28"/>
          <w:szCs w:val="28"/>
          <w:lang w:val="el-GR"/>
        </w:rPr>
        <w:tab/>
      </w:r>
      <w:r>
        <w:rPr>
          <w:rFonts w:ascii="Bookman Old Style" w:hAnsi="Bookman Old Style" w:cs="Arial"/>
          <w:i/>
          <w:iCs/>
          <w:sz w:val="28"/>
          <w:szCs w:val="28"/>
          <w:lang w:val="el-GR"/>
        </w:rPr>
        <w:tab/>
      </w:r>
      <w:r>
        <w:rPr>
          <w:rFonts w:ascii="Bookman Old Style" w:hAnsi="Bookman Old Style" w:cs="Arial"/>
          <w:i/>
          <w:iCs/>
          <w:sz w:val="28"/>
          <w:szCs w:val="28"/>
          <w:lang w:val="el-GR"/>
        </w:rPr>
        <w:tab/>
      </w:r>
      <w:r w:rsidRPr="00C40E23">
        <w:rPr>
          <w:rFonts w:ascii="Bookman Old Style" w:hAnsi="Bookman Old Style" w:cs="Arial"/>
          <w:i/>
          <w:iCs/>
          <w:sz w:val="28"/>
          <w:szCs w:val="28"/>
          <w:lang w:val="el-GR"/>
        </w:rPr>
        <w:t xml:space="preserve">                               </w:t>
      </w:r>
      <w:r w:rsidRPr="00724C01">
        <w:rPr>
          <w:rFonts w:ascii="Bookman Old Style" w:hAnsi="Bookman Old Style" w:cs="Arial"/>
          <w:b/>
          <w:bCs/>
          <w:i/>
          <w:iCs/>
          <w:sz w:val="28"/>
          <w:szCs w:val="28"/>
          <w:lang w:val="el-GR"/>
        </w:rPr>
        <w:t>(</w:t>
      </w:r>
      <w:r w:rsidRPr="00724C01">
        <w:rPr>
          <w:rFonts w:ascii="Bookman Old Style" w:hAnsi="Bookman Old Style" w:cs="Arial"/>
          <w:b/>
          <w:bCs/>
          <w:i/>
          <w:iCs/>
          <w:sz w:val="28"/>
          <w:szCs w:val="28"/>
          <w:lang w:val="en-US"/>
        </w:rPr>
        <w:t>i</w:t>
      </w:r>
      <w:r w:rsidRPr="00C40E23">
        <w:rPr>
          <w:rFonts w:ascii="Bookman Old Style" w:hAnsi="Bookman Old Style" w:cs="Arial"/>
          <w:b/>
          <w:bCs/>
          <w:i/>
          <w:iCs/>
          <w:sz w:val="28"/>
          <w:szCs w:val="28"/>
          <w:lang w:val="el-GR"/>
        </w:rPr>
        <w:t>-</w:t>
      </w:r>
      <w:r w:rsidRPr="00724C01">
        <w:rPr>
          <w:rFonts w:ascii="Bookman Old Style" w:hAnsi="Bookman Old Style" w:cs="Arial"/>
          <w:b/>
          <w:bCs/>
          <w:i/>
          <w:iCs/>
          <w:sz w:val="28"/>
          <w:szCs w:val="28"/>
          <w:lang w:val="en-US"/>
        </w:rPr>
        <w:t>justice</w:t>
      </w:r>
      <w:r w:rsidRPr="00C40E23">
        <w:rPr>
          <w:rFonts w:ascii="Bookman Old Style" w:hAnsi="Bookman Old Style" w:cs="Arial"/>
          <w:b/>
          <w:bCs/>
          <w:i/>
          <w:iCs/>
          <w:sz w:val="28"/>
          <w:szCs w:val="28"/>
          <w:lang w:val="el-GR"/>
        </w:rPr>
        <w:t>)</w:t>
      </w:r>
    </w:p>
    <w:p w14:paraId="3168C780" w14:textId="77777777" w:rsidR="004C29CA" w:rsidRPr="00724C01" w:rsidRDefault="004C29CA" w:rsidP="0000790C">
      <w:pPr>
        <w:ind w:right="-35"/>
        <w:jc w:val="center"/>
        <w:rPr>
          <w:rFonts w:ascii="Bookman Old Style" w:hAnsi="Bookman Old Style" w:cs="Arial"/>
          <w:b/>
          <w:bCs/>
          <w:sz w:val="28"/>
          <w:szCs w:val="28"/>
          <w:lang w:val="el-GR"/>
        </w:rPr>
      </w:pPr>
    </w:p>
    <w:p w14:paraId="1BBA4D20" w14:textId="3BCD50C3" w:rsidR="004C29CA" w:rsidRDefault="0019677F" w:rsidP="0000790C">
      <w:pPr>
        <w:ind w:right="-35"/>
        <w:jc w:val="center"/>
        <w:rPr>
          <w:rFonts w:ascii="Bookman Old Style" w:hAnsi="Bookman Old Style" w:cs="Arial"/>
          <w:b/>
          <w:sz w:val="28"/>
          <w:szCs w:val="28"/>
          <w:lang w:val="el-GR"/>
        </w:rPr>
      </w:pPr>
      <w:r>
        <w:rPr>
          <w:rFonts w:ascii="Bookman Old Style" w:hAnsi="Bookman Old Style" w:cs="Arial"/>
          <w:b/>
          <w:sz w:val="28"/>
          <w:szCs w:val="28"/>
          <w:lang w:val="el-GR"/>
        </w:rPr>
        <w:t>18 Απριλίου,</w:t>
      </w:r>
      <w:r w:rsidR="004C29CA" w:rsidRPr="007A0D8E">
        <w:rPr>
          <w:rFonts w:ascii="Bookman Old Style" w:hAnsi="Bookman Old Style" w:cs="Arial"/>
          <w:b/>
          <w:sz w:val="28"/>
          <w:szCs w:val="28"/>
          <w:lang w:val="el-GR"/>
        </w:rPr>
        <w:t xml:space="preserve"> </w:t>
      </w:r>
      <w:r w:rsidR="007A0D8E">
        <w:rPr>
          <w:rFonts w:ascii="Bookman Old Style" w:hAnsi="Bookman Old Style" w:cs="Arial"/>
          <w:b/>
          <w:sz w:val="28"/>
          <w:szCs w:val="28"/>
          <w:lang w:val="el-GR"/>
        </w:rPr>
        <w:t>202</w:t>
      </w:r>
      <w:r w:rsidR="00C40E23">
        <w:rPr>
          <w:rFonts w:ascii="Bookman Old Style" w:hAnsi="Bookman Old Style" w:cs="Arial"/>
          <w:b/>
          <w:sz w:val="28"/>
          <w:szCs w:val="28"/>
          <w:lang w:val="el-GR"/>
        </w:rPr>
        <w:t>4</w:t>
      </w:r>
    </w:p>
    <w:p w14:paraId="552D7883" w14:textId="77777777" w:rsidR="004C29CA" w:rsidRPr="007A0D8E" w:rsidRDefault="004C29CA" w:rsidP="0000790C">
      <w:pPr>
        <w:ind w:right="-35"/>
        <w:jc w:val="center"/>
        <w:rPr>
          <w:rFonts w:ascii="Bookman Old Style" w:hAnsi="Bookman Old Style" w:cs="Arial"/>
          <w:b/>
          <w:sz w:val="28"/>
          <w:szCs w:val="28"/>
          <w:lang w:val="el-GR"/>
        </w:rPr>
      </w:pPr>
    </w:p>
    <w:p w14:paraId="4C751E68" w14:textId="77777777" w:rsidR="004C29CA" w:rsidRPr="007A0D8E" w:rsidRDefault="004C29CA" w:rsidP="0000790C">
      <w:pPr>
        <w:ind w:right="-35"/>
        <w:jc w:val="center"/>
        <w:rPr>
          <w:rFonts w:ascii="Bookman Old Style" w:hAnsi="Bookman Old Style" w:cs="Arial"/>
          <w:b/>
          <w:sz w:val="28"/>
          <w:szCs w:val="28"/>
          <w:lang w:val="el-GR"/>
        </w:rPr>
      </w:pPr>
    </w:p>
    <w:p w14:paraId="441C51A6" w14:textId="6FD87D2D" w:rsidR="004C29CA" w:rsidRPr="007A0D8E" w:rsidRDefault="007A0D8E" w:rsidP="0000790C">
      <w:pPr>
        <w:ind w:right="-35"/>
        <w:jc w:val="center"/>
        <w:rPr>
          <w:rFonts w:ascii="Bookman Old Style" w:hAnsi="Bookman Old Style" w:cs="Arial"/>
          <w:b/>
          <w:sz w:val="28"/>
          <w:szCs w:val="28"/>
          <w:lang w:val="el-GR"/>
        </w:rPr>
      </w:pPr>
      <w:r>
        <w:rPr>
          <w:rFonts w:ascii="Bookman Old Style" w:hAnsi="Bookman Old Style" w:cs="Arial"/>
          <w:b/>
          <w:sz w:val="28"/>
          <w:szCs w:val="28"/>
          <w:lang w:val="el-GR"/>
        </w:rPr>
        <w:t>[</w:t>
      </w:r>
      <w:r w:rsidR="00341CDB">
        <w:rPr>
          <w:rFonts w:ascii="Bookman Old Style" w:hAnsi="Bookman Old Style" w:cs="Arial"/>
          <w:b/>
          <w:sz w:val="28"/>
          <w:szCs w:val="28"/>
          <w:lang w:val="el-GR"/>
        </w:rPr>
        <w:t xml:space="preserve">Λ. </w:t>
      </w:r>
      <w:r>
        <w:rPr>
          <w:rFonts w:ascii="Bookman Old Style" w:hAnsi="Bookman Old Style" w:cs="Arial"/>
          <w:b/>
          <w:sz w:val="28"/>
          <w:szCs w:val="28"/>
          <w:lang w:val="el-GR"/>
        </w:rPr>
        <w:t>ΔΗΜΗΤΡΙΑΔΟΥ-ΑΝΔΡΕΟΥ</w:t>
      </w:r>
      <w:r w:rsidR="004C29CA" w:rsidRPr="007A0D8E">
        <w:rPr>
          <w:rFonts w:ascii="Bookman Old Style" w:hAnsi="Bookman Old Style" w:cs="Arial"/>
          <w:b/>
          <w:sz w:val="28"/>
          <w:szCs w:val="28"/>
          <w:lang w:val="el-GR"/>
        </w:rPr>
        <w:t>, Δ.]</w:t>
      </w:r>
    </w:p>
    <w:p w14:paraId="0D752D4B" w14:textId="77777777" w:rsidR="004C29CA" w:rsidRPr="007A0D8E" w:rsidRDefault="004C29CA" w:rsidP="0000790C">
      <w:pPr>
        <w:ind w:right="-35"/>
        <w:jc w:val="center"/>
        <w:rPr>
          <w:rFonts w:ascii="Bookman Old Style" w:hAnsi="Bookman Old Style" w:cs="Arial"/>
          <w:sz w:val="28"/>
          <w:szCs w:val="28"/>
          <w:lang w:val="el-GR"/>
        </w:rPr>
      </w:pPr>
    </w:p>
    <w:p w14:paraId="63573D82" w14:textId="77777777" w:rsidR="004C29CA" w:rsidRDefault="004C29CA" w:rsidP="0000790C">
      <w:pPr>
        <w:ind w:right="-35"/>
        <w:rPr>
          <w:rFonts w:ascii="Bookman Old Style" w:hAnsi="Bookman Old Style" w:cs="Arial"/>
          <w:sz w:val="28"/>
          <w:szCs w:val="28"/>
          <w:u w:val="single"/>
          <w:lang w:val="el-GR"/>
        </w:rPr>
      </w:pPr>
    </w:p>
    <w:p w14:paraId="46890B41" w14:textId="77777777" w:rsidR="00671D63" w:rsidRDefault="00671D63" w:rsidP="00671D63">
      <w:pPr>
        <w:pStyle w:val="Bodytext20"/>
        <w:shd w:val="clear" w:color="auto" w:fill="auto"/>
        <w:spacing w:before="0" w:line="276" w:lineRule="auto"/>
        <w:ind w:right="-35"/>
        <w:rPr>
          <w:rFonts w:ascii="Bookman Old Style" w:hAnsi="Bookman Old Style"/>
          <w:color w:val="000000"/>
          <w:sz w:val="28"/>
          <w:szCs w:val="28"/>
          <w:lang w:bidi="el-GR"/>
        </w:rPr>
      </w:pPr>
      <w:r>
        <w:rPr>
          <w:rFonts w:ascii="Bookman Old Style" w:hAnsi="Bookman Old Style"/>
          <w:color w:val="000000"/>
          <w:sz w:val="28"/>
          <w:szCs w:val="28"/>
          <w:lang w:bidi="el-GR"/>
        </w:rPr>
        <w:t>ΑΝΑΦΟΡΙΚΑ ΜΕ ΤΟ ΑΡΘΡΟ 155.4 ΤΟΥ ΣΥΝΤΑΓΜΑΤΟΣ ΚΑΙ ΤΑ ΑΡΘΡΑ 3 ΚΑΙ 9 ΤΟΥ ΠΕΡΙ ΑΠΟΝΟΜΗΣ ΤΗΣ ΔΙΚΑΙΟΣΥΝΗΣ (ΠΟΙΚΙΛΑΙ ΔΙΑΤΑΞΕΙΣ) ΝΟΜΟΥ ΤΟΥ 1964</w:t>
      </w:r>
    </w:p>
    <w:p w14:paraId="12819568" w14:textId="77777777" w:rsidR="00671D63" w:rsidRDefault="00671D63" w:rsidP="00671D63">
      <w:pPr>
        <w:pStyle w:val="Bodytext20"/>
        <w:shd w:val="clear" w:color="auto" w:fill="auto"/>
        <w:spacing w:before="0" w:line="276" w:lineRule="auto"/>
        <w:ind w:right="-35"/>
        <w:rPr>
          <w:rFonts w:ascii="Bookman Old Style" w:hAnsi="Bookman Old Style"/>
          <w:color w:val="000000"/>
          <w:sz w:val="28"/>
          <w:szCs w:val="28"/>
          <w:lang w:bidi="el-GR"/>
        </w:rPr>
      </w:pPr>
      <w:r>
        <w:rPr>
          <w:rFonts w:ascii="Bookman Old Style" w:hAnsi="Bookman Old Style"/>
          <w:color w:val="000000"/>
          <w:sz w:val="28"/>
          <w:szCs w:val="28"/>
          <w:lang w:bidi="el-GR"/>
        </w:rPr>
        <w:t xml:space="preserve"> </w:t>
      </w:r>
    </w:p>
    <w:p w14:paraId="104D73A0" w14:textId="77777777" w:rsidR="00671D63" w:rsidRDefault="00671D63" w:rsidP="00671D63">
      <w:pPr>
        <w:pStyle w:val="Bodytext20"/>
        <w:shd w:val="clear" w:color="auto" w:fill="auto"/>
        <w:spacing w:before="0" w:line="276" w:lineRule="auto"/>
        <w:ind w:right="-35"/>
        <w:jc w:val="center"/>
        <w:rPr>
          <w:rFonts w:ascii="Bookman Old Style" w:hAnsi="Bookman Old Style"/>
          <w:color w:val="000000"/>
          <w:sz w:val="28"/>
          <w:szCs w:val="28"/>
          <w:lang w:bidi="el-GR"/>
        </w:rPr>
      </w:pPr>
      <w:r>
        <w:rPr>
          <w:rFonts w:ascii="Bookman Old Style" w:hAnsi="Bookman Old Style"/>
          <w:color w:val="000000"/>
          <w:sz w:val="28"/>
          <w:szCs w:val="28"/>
          <w:lang w:bidi="el-GR"/>
        </w:rPr>
        <w:t>ΚΑΙ</w:t>
      </w:r>
    </w:p>
    <w:p w14:paraId="0659877D" w14:textId="77777777" w:rsidR="00671D63" w:rsidRDefault="00671D63" w:rsidP="00671D63">
      <w:pPr>
        <w:pStyle w:val="Bodytext20"/>
        <w:shd w:val="clear" w:color="auto" w:fill="auto"/>
        <w:spacing w:before="0" w:line="276" w:lineRule="auto"/>
        <w:ind w:right="-35"/>
        <w:rPr>
          <w:rFonts w:ascii="Bookman Old Style" w:hAnsi="Bookman Old Style"/>
          <w:color w:val="000000"/>
          <w:sz w:val="28"/>
          <w:szCs w:val="28"/>
          <w:lang w:bidi="el-GR"/>
        </w:rPr>
      </w:pPr>
    </w:p>
    <w:p w14:paraId="33AF6907" w14:textId="77777777" w:rsidR="00671D63" w:rsidRDefault="00671D63" w:rsidP="00671D63">
      <w:pPr>
        <w:pStyle w:val="Bodytext20"/>
        <w:shd w:val="clear" w:color="auto" w:fill="auto"/>
        <w:spacing w:before="0" w:line="276" w:lineRule="auto"/>
        <w:ind w:right="-35"/>
        <w:rPr>
          <w:rFonts w:ascii="Bookman Old Style" w:hAnsi="Bookman Old Style"/>
          <w:color w:val="000000"/>
          <w:sz w:val="28"/>
          <w:szCs w:val="28"/>
          <w:lang w:bidi="el-GR"/>
        </w:rPr>
      </w:pPr>
      <w:r>
        <w:rPr>
          <w:rFonts w:ascii="Bookman Old Style" w:hAnsi="Bookman Old Style"/>
          <w:color w:val="000000"/>
          <w:sz w:val="28"/>
          <w:szCs w:val="28"/>
          <w:lang w:bidi="el-GR"/>
        </w:rPr>
        <w:t>ΑΝΑΦΟΡΙΚΑ ΜΕ ΤΟΝ ΠΕΡΙ ΑΝΩΤΑΤΟΥ ΔΙΚΑΣΤΗΡΙΟΥ (ΔΙΚΑΙΟΔΟΣΙΑ ΕΚΔΟΣΗΣ ΕΝΤΑΛΜΑΤΩΝ ΠΡΟΝΟΜΙΑΚΗΣ ΦΥΣΕΩΣ) ΔΙΑΔΙΚΑΣΤΙΚΟ ΚΑΝΟΝΙΣΜΟ ΤΟΥ 2018</w:t>
      </w:r>
    </w:p>
    <w:p w14:paraId="6B5D083C" w14:textId="77777777" w:rsidR="00671D63" w:rsidRDefault="00671D63" w:rsidP="00671D63">
      <w:pPr>
        <w:pStyle w:val="Bodytext20"/>
        <w:shd w:val="clear" w:color="auto" w:fill="auto"/>
        <w:spacing w:before="0" w:line="276" w:lineRule="auto"/>
        <w:ind w:right="-35"/>
        <w:jc w:val="center"/>
        <w:rPr>
          <w:rFonts w:ascii="Bookman Old Style" w:hAnsi="Bookman Old Style"/>
          <w:color w:val="000000"/>
          <w:sz w:val="28"/>
          <w:szCs w:val="28"/>
          <w:lang w:bidi="el-GR"/>
        </w:rPr>
      </w:pPr>
    </w:p>
    <w:p w14:paraId="6B11C5B4" w14:textId="77777777" w:rsidR="00671D63" w:rsidRDefault="00671D63" w:rsidP="00671D63">
      <w:pPr>
        <w:pStyle w:val="Bodytext20"/>
        <w:shd w:val="clear" w:color="auto" w:fill="auto"/>
        <w:spacing w:before="0" w:line="276" w:lineRule="auto"/>
        <w:ind w:right="-35"/>
        <w:jc w:val="center"/>
        <w:rPr>
          <w:rFonts w:ascii="Bookman Old Style" w:hAnsi="Bookman Old Style"/>
          <w:color w:val="000000"/>
          <w:sz w:val="28"/>
          <w:szCs w:val="28"/>
          <w:lang w:bidi="el-GR"/>
        </w:rPr>
      </w:pPr>
      <w:r>
        <w:rPr>
          <w:rFonts w:ascii="Bookman Old Style" w:hAnsi="Bookman Old Style"/>
          <w:color w:val="000000"/>
          <w:sz w:val="28"/>
          <w:szCs w:val="28"/>
          <w:lang w:bidi="el-GR"/>
        </w:rPr>
        <w:t>ΚΑΙ</w:t>
      </w:r>
    </w:p>
    <w:p w14:paraId="23DA776A" w14:textId="77777777" w:rsidR="00671D63" w:rsidRDefault="00671D63" w:rsidP="00671D63">
      <w:pPr>
        <w:pStyle w:val="Bodytext20"/>
        <w:shd w:val="clear" w:color="auto" w:fill="auto"/>
        <w:spacing w:before="0" w:line="276" w:lineRule="auto"/>
        <w:ind w:right="-35"/>
        <w:rPr>
          <w:rFonts w:ascii="Bookman Old Style" w:hAnsi="Bookman Old Style"/>
          <w:color w:val="000000"/>
          <w:sz w:val="28"/>
          <w:szCs w:val="28"/>
          <w:lang w:bidi="el-GR"/>
        </w:rPr>
      </w:pPr>
    </w:p>
    <w:p w14:paraId="0F23DC14" w14:textId="59936870" w:rsidR="00671D63" w:rsidRDefault="00671D63" w:rsidP="00671D63">
      <w:pPr>
        <w:pStyle w:val="Bodytext20"/>
        <w:shd w:val="clear" w:color="auto" w:fill="auto"/>
        <w:spacing w:before="0" w:line="276" w:lineRule="auto"/>
        <w:ind w:right="-35"/>
        <w:rPr>
          <w:rFonts w:ascii="Bookman Old Style" w:hAnsi="Bookman Old Style"/>
          <w:color w:val="000000"/>
          <w:sz w:val="28"/>
          <w:szCs w:val="28"/>
          <w:lang w:bidi="el-GR"/>
        </w:rPr>
      </w:pPr>
      <w:r>
        <w:rPr>
          <w:rFonts w:ascii="Bookman Old Style" w:hAnsi="Bookman Old Style"/>
          <w:color w:val="000000"/>
          <w:sz w:val="28"/>
          <w:szCs w:val="28"/>
          <w:lang w:bidi="el-GR"/>
        </w:rPr>
        <w:t xml:space="preserve">ΑΝΑΦΟΡΙΚΑ ΜΕ ΤΗΝ ΑΙΤΗΣΗ ΤΟΥ ΙΓΝΑΤΙΟΥ ΜΙΛΤΙΑΔΟΥΣ ΓΙΑ ΑΔΕΙΑ ΓΙΑ ΤΗΝ ΚΑΤΑΧΩΡΗΣΗ ΑΙΤΗΣΗΣ ΓΙΑ ΤΗΝ ΕΚΔΟΣΗ ΕΝΤΑΛΜΑΤΟΣ ΦΥΣΕΩΣ </w:t>
      </w:r>
      <w:r>
        <w:rPr>
          <w:rFonts w:ascii="Bookman Old Style" w:hAnsi="Bookman Old Style"/>
          <w:color w:val="000000"/>
          <w:sz w:val="28"/>
          <w:szCs w:val="28"/>
          <w:lang w:val="en-US" w:bidi="el-GR"/>
        </w:rPr>
        <w:t>CERTIORARI</w:t>
      </w:r>
    </w:p>
    <w:p w14:paraId="6DBE9213" w14:textId="77777777" w:rsidR="00671D63" w:rsidRPr="00900A4F" w:rsidRDefault="00671D63" w:rsidP="00671D63">
      <w:pPr>
        <w:pStyle w:val="Bodytext20"/>
        <w:shd w:val="clear" w:color="auto" w:fill="auto"/>
        <w:spacing w:before="0" w:line="276" w:lineRule="auto"/>
        <w:ind w:right="-35"/>
        <w:rPr>
          <w:rFonts w:ascii="Bookman Old Style" w:hAnsi="Bookman Old Style"/>
          <w:color w:val="000000"/>
          <w:sz w:val="28"/>
          <w:szCs w:val="28"/>
          <w:lang w:bidi="el-GR"/>
        </w:rPr>
      </w:pPr>
    </w:p>
    <w:p w14:paraId="42F6E68D" w14:textId="77777777" w:rsidR="00671D63" w:rsidRDefault="00671D63" w:rsidP="00671D63">
      <w:pPr>
        <w:pStyle w:val="Bodytext20"/>
        <w:shd w:val="clear" w:color="auto" w:fill="auto"/>
        <w:spacing w:before="0" w:line="276" w:lineRule="auto"/>
        <w:ind w:right="-35"/>
        <w:jc w:val="center"/>
        <w:rPr>
          <w:rFonts w:ascii="Bookman Old Style" w:hAnsi="Bookman Old Style"/>
          <w:color w:val="000000"/>
          <w:sz w:val="28"/>
          <w:szCs w:val="28"/>
          <w:lang w:bidi="el-GR"/>
        </w:rPr>
      </w:pPr>
      <w:r>
        <w:rPr>
          <w:rFonts w:ascii="Bookman Old Style" w:hAnsi="Bookman Old Style"/>
          <w:color w:val="000000"/>
          <w:sz w:val="28"/>
          <w:szCs w:val="28"/>
          <w:lang w:bidi="el-GR"/>
        </w:rPr>
        <w:t>ΚΑΙ</w:t>
      </w:r>
    </w:p>
    <w:p w14:paraId="14F78E9C" w14:textId="77777777" w:rsidR="00671D63" w:rsidRDefault="00671D63" w:rsidP="00671D63">
      <w:pPr>
        <w:pStyle w:val="Bodytext20"/>
        <w:shd w:val="clear" w:color="auto" w:fill="auto"/>
        <w:spacing w:before="0" w:line="276" w:lineRule="auto"/>
        <w:ind w:right="-35"/>
        <w:rPr>
          <w:rFonts w:ascii="Bookman Old Style" w:hAnsi="Bookman Old Style"/>
          <w:color w:val="000000"/>
          <w:sz w:val="28"/>
          <w:szCs w:val="28"/>
          <w:lang w:bidi="el-GR"/>
        </w:rPr>
      </w:pPr>
    </w:p>
    <w:p w14:paraId="7826B2E9" w14:textId="77777777" w:rsidR="00671D63" w:rsidRDefault="00671D63" w:rsidP="00671D63">
      <w:pPr>
        <w:pStyle w:val="Bodytext20"/>
        <w:shd w:val="clear" w:color="auto" w:fill="auto"/>
        <w:spacing w:before="0" w:line="276" w:lineRule="auto"/>
        <w:ind w:right="-35"/>
        <w:rPr>
          <w:rFonts w:ascii="Bookman Old Style" w:hAnsi="Bookman Old Style"/>
          <w:color w:val="000000"/>
          <w:sz w:val="28"/>
          <w:szCs w:val="28"/>
          <w:lang w:bidi="el-GR"/>
        </w:rPr>
      </w:pPr>
      <w:r>
        <w:rPr>
          <w:rFonts w:ascii="Bookman Old Style" w:hAnsi="Bookman Old Style"/>
          <w:color w:val="000000"/>
          <w:sz w:val="28"/>
          <w:szCs w:val="28"/>
          <w:lang w:bidi="el-GR"/>
        </w:rPr>
        <w:t>ΑΝΑΦΟΡΙΚΑ ΜΕ ΤΗΝ ΕΝΔΙΑΜΕΣΗ ΑΠΟΦΑΣΗ ΗΜΕΡΟΜΗΝΙΑΣ 28/3/2024 ΠΟΥ ΕΚΔΟΘΗΚΕ ΑΠΟ ΤΟ ΜΟΝΙΜΟ ΚΑΚΟΥΡΓΙΟΔΙΚΕΙΟ ΠΑΦΟΥ ΔΥΝΑΜΕΙ ΤΟΥ ΑΡΘΡΟΥ 17 ΤΟΥ ΣΥΝΤΑΓΜΑΤΟΣ ΚΑΙ ΤΟΥ ΝΟΜΟΥ 92(Ι)/1996, ΑΡΘΡΑ 21, 22 ΚΑΙ 23 ΑΥΤΟΥ</w:t>
      </w:r>
    </w:p>
    <w:p w14:paraId="7FAA9658" w14:textId="77777777" w:rsidR="00671D63" w:rsidRDefault="00671D63" w:rsidP="00671D63">
      <w:pPr>
        <w:pStyle w:val="Bodytext20"/>
        <w:shd w:val="clear" w:color="auto" w:fill="auto"/>
        <w:spacing w:before="0" w:line="276" w:lineRule="auto"/>
        <w:ind w:right="-319"/>
        <w:rPr>
          <w:rFonts w:ascii="Bookman Old Style" w:hAnsi="Bookman Old Style"/>
          <w:color w:val="000000"/>
          <w:sz w:val="28"/>
          <w:szCs w:val="28"/>
          <w:lang w:bidi="el-GR"/>
        </w:rPr>
      </w:pPr>
    </w:p>
    <w:p w14:paraId="4DA71174" w14:textId="77777777" w:rsidR="00C40E23" w:rsidRDefault="00C40E23" w:rsidP="0000790C">
      <w:pPr>
        <w:ind w:right="-35"/>
        <w:rPr>
          <w:rFonts w:ascii="Bookman Old Style" w:hAnsi="Bookman Old Style" w:cs="Arial"/>
          <w:sz w:val="28"/>
          <w:szCs w:val="28"/>
          <w:u w:val="single"/>
          <w:lang w:val="el-GR"/>
        </w:rPr>
      </w:pPr>
    </w:p>
    <w:p w14:paraId="71896CC4" w14:textId="77777777" w:rsidR="00C40E23" w:rsidRDefault="00C40E23" w:rsidP="0000790C">
      <w:pPr>
        <w:ind w:right="-35"/>
        <w:rPr>
          <w:rFonts w:ascii="Bookman Old Style" w:hAnsi="Bookman Old Style" w:cs="Arial"/>
          <w:sz w:val="28"/>
          <w:szCs w:val="28"/>
          <w:u w:val="single"/>
          <w:lang w:val="el-GR"/>
        </w:rPr>
      </w:pPr>
    </w:p>
    <w:p w14:paraId="6EFDD064" w14:textId="77777777" w:rsidR="00C40E23" w:rsidRDefault="00C40E23" w:rsidP="0000790C">
      <w:pPr>
        <w:ind w:right="-35"/>
        <w:rPr>
          <w:rFonts w:ascii="Bookman Old Style" w:hAnsi="Bookman Old Style" w:cs="Arial"/>
          <w:sz w:val="28"/>
          <w:szCs w:val="28"/>
          <w:u w:val="single"/>
          <w:lang w:val="el-GR"/>
        </w:rPr>
      </w:pPr>
    </w:p>
    <w:p w14:paraId="225E3645" w14:textId="4763E133" w:rsidR="004C29CA" w:rsidRDefault="00671D63" w:rsidP="00D52F4A">
      <w:pPr>
        <w:ind w:right="-35"/>
        <w:jc w:val="both"/>
        <w:rPr>
          <w:rFonts w:ascii="Bookman Old Style" w:hAnsi="Bookman Old Style" w:cs="Arial"/>
          <w:iCs/>
          <w:sz w:val="28"/>
          <w:szCs w:val="28"/>
          <w:lang w:val="el-GR"/>
        </w:rPr>
      </w:pPr>
      <w:r>
        <w:rPr>
          <w:rFonts w:ascii="Bookman Old Style" w:hAnsi="Bookman Old Style" w:cs="Arial"/>
          <w:i/>
          <w:iCs/>
          <w:sz w:val="28"/>
          <w:szCs w:val="28"/>
          <w:lang w:val="el-GR"/>
        </w:rPr>
        <w:lastRenderedPageBreak/>
        <w:t>Χρ. Τριανταφυλλίδης</w:t>
      </w:r>
      <w:r w:rsidR="00F35E6D">
        <w:rPr>
          <w:rFonts w:ascii="Bookman Old Style" w:hAnsi="Bookman Old Style" w:cs="Arial"/>
          <w:i/>
          <w:iCs/>
          <w:sz w:val="28"/>
          <w:szCs w:val="28"/>
          <w:lang w:val="el-GR"/>
        </w:rPr>
        <w:t xml:space="preserve"> με Στ. Χριστοδούλου</w:t>
      </w:r>
      <w:r w:rsidR="004C29CA" w:rsidRPr="007A0D8E">
        <w:rPr>
          <w:rFonts w:ascii="Bookman Old Style" w:hAnsi="Bookman Old Style" w:cs="Arial"/>
          <w:i/>
          <w:iCs/>
          <w:sz w:val="28"/>
          <w:szCs w:val="28"/>
          <w:lang w:val="el-GR"/>
        </w:rPr>
        <w:t xml:space="preserve">, </w:t>
      </w:r>
      <w:r w:rsidR="005B2486">
        <w:rPr>
          <w:rFonts w:ascii="Bookman Old Style" w:hAnsi="Bookman Old Style" w:cs="Arial"/>
          <w:i/>
          <w:iCs/>
          <w:sz w:val="28"/>
          <w:szCs w:val="28"/>
          <w:lang w:val="el-GR"/>
        </w:rPr>
        <w:t xml:space="preserve">για </w:t>
      </w:r>
      <w:r>
        <w:rPr>
          <w:rFonts w:ascii="Bookman Old Style" w:hAnsi="Bookman Old Style" w:cs="Arial"/>
          <w:i/>
          <w:iCs/>
          <w:sz w:val="28"/>
          <w:szCs w:val="28"/>
          <w:lang w:val="el-GR"/>
        </w:rPr>
        <w:t xml:space="preserve">Χρίστος Μ. Τριανταφυλλίδης </w:t>
      </w:r>
      <w:r w:rsidR="005B2486">
        <w:rPr>
          <w:rFonts w:ascii="Bookman Old Style" w:hAnsi="Bookman Old Style" w:cs="Arial"/>
          <w:i/>
          <w:iCs/>
          <w:sz w:val="28"/>
          <w:szCs w:val="28"/>
          <w:lang w:val="el-GR"/>
        </w:rPr>
        <w:t xml:space="preserve">ΔΕΠΕ, </w:t>
      </w:r>
      <w:r w:rsidR="004C29CA" w:rsidRPr="007A0D8E">
        <w:rPr>
          <w:rFonts w:ascii="Bookman Old Style" w:hAnsi="Bookman Old Style" w:cs="Arial"/>
          <w:iCs/>
          <w:sz w:val="28"/>
          <w:szCs w:val="28"/>
          <w:lang w:val="el-GR"/>
        </w:rPr>
        <w:t>για το</w:t>
      </w:r>
      <w:r>
        <w:rPr>
          <w:rFonts w:ascii="Bookman Old Style" w:hAnsi="Bookman Old Style" w:cs="Arial"/>
          <w:iCs/>
          <w:sz w:val="28"/>
          <w:szCs w:val="28"/>
          <w:lang w:val="el-GR"/>
        </w:rPr>
        <w:t>ν Αιτητή</w:t>
      </w:r>
      <w:r w:rsidR="004C29CA" w:rsidRPr="007A0D8E">
        <w:rPr>
          <w:rFonts w:ascii="Bookman Old Style" w:hAnsi="Bookman Old Style" w:cs="Arial"/>
          <w:iCs/>
          <w:sz w:val="28"/>
          <w:szCs w:val="28"/>
          <w:lang w:val="el-GR"/>
        </w:rPr>
        <w:t>.</w:t>
      </w:r>
    </w:p>
    <w:p w14:paraId="225F449A" w14:textId="77777777" w:rsidR="00717CEE" w:rsidRPr="007A0D8E" w:rsidRDefault="00717CEE" w:rsidP="00D52F4A">
      <w:pPr>
        <w:ind w:right="-35"/>
        <w:jc w:val="both"/>
        <w:rPr>
          <w:rFonts w:ascii="Bookman Old Style" w:hAnsi="Bookman Old Style" w:cs="Arial"/>
          <w:iCs/>
          <w:sz w:val="28"/>
          <w:szCs w:val="28"/>
          <w:lang w:val="el-GR"/>
        </w:rPr>
      </w:pPr>
    </w:p>
    <w:p w14:paraId="1354A878" w14:textId="77777777" w:rsidR="004C29CA" w:rsidRDefault="004C29CA" w:rsidP="00717CEE">
      <w:pPr>
        <w:pBdr>
          <w:bottom w:val="single" w:sz="12" w:space="1" w:color="auto"/>
        </w:pBdr>
        <w:ind w:left="142" w:right="-35" w:hanging="113"/>
        <w:jc w:val="both"/>
        <w:rPr>
          <w:rFonts w:ascii="Bookman Old Style" w:hAnsi="Bookman Old Style" w:cs="Arial"/>
          <w:iCs/>
          <w:sz w:val="28"/>
          <w:szCs w:val="28"/>
          <w:lang w:val="el-GR"/>
        </w:rPr>
      </w:pPr>
    </w:p>
    <w:p w14:paraId="6C17A7F8" w14:textId="77777777" w:rsidR="00C52935" w:rsidRPr="00C52935" w:rsidRDefault="00C52935" w:rsidP="0000790C">
      <w:pPr>
        <w:ind w:left="397" w:right="-35" w:hanging="113"/>
        <w:jc w:val="both"/>
        <w:rPr>
          <w:rFonts w:ascii="Bookman Old Style" w:hAnsi="Bookman Old Style" w:cs="Arial"/>
          <w:b/>
          <w:bCs/>
          <w:iCs/>
          <w:sz w:val="28"/>
          <w:szCs w:val="28"/>
          <w:u w:val="thick"/>
          <w:lang w:val="el-GR"/>
        </w:rPr>
      </w:pPr>
    </w:p>
    <w:p w14:paraId="1AC040F6" w14:textId="77777777" w:rsidR="00C84479" w:rsidRDefault="00C84479" w:rsidP="0000790C">
      <w:pPr>
        <w:spacing w:line="360" w:lineRule="auto"/>
        <w:ind w:right="-35"/>
        <w:jc w:val="center"/>
        <w:rPr>
          <w:rFonts w:ascii="Bookman Old Style" w:hAnsi="Bookman Old Style" w:cs="Arial"/>
          <w:b/>
          <w:bCs/>
          <w:caps/>
          <w:sz w:val="34"/>
          <w:szCs w:val="34"/>
          <w:u w:val="thick"/>
          <w:lang w:val="el-GR"/>
        </w:rPr>
      </w:pPr>
    </w:p>
    <w:p w14:paraId="5080FDCF" w14:textId="40B92B55" w:rsidR="004C29CA" w:rsidRPr="00B07023" w:rsidRDefault="004C29CA" w:rsidP="00F35E6D">
      <w:pPr>
        <w:spacing w:line="360" w:lineRule="auto"/>
        <w:ind w:right="-35"/>
        <w:jc w:val="center"/>
        <w:rPr>
          <w:rFonts w:ascii="Bookman Old Style" w:hAnsi="Bookman Old Style" w:cs="Arial"/>
          <w:b/>
          <w:bCs/>
          <w:caps/>
          <w:sz w:val="34"/>
          <w:szCs w:val="34"/>
          <w:u w:val="thick"/>
          <w:lang w:val="el-GR"/>
        </w:rPr>
      </w:pPr>
      <w:r w:rsidRPr="00B07023">
        <w:rPr>
          <w:rFonts w:ascii="Bookman Old Style" w:hAnsi="Bookman Old Style" w:cs="Arial"/>
          <w:b/>
          <w:bCs/>
          <w:caps/>
          <w:sz w:val="34"/>
          <w:szCs w:val="34"/>
          <w:u w:val="thick"/>
          <w:lang w:val="el-GR"/>
        </w:rPr>
        <w:t>Α Π Ο Φ Α Σ Η</w:t>
      </w:r>
    </w:p>
    <w:p w14:paraId="7F95CEC7" w14:textId="2AFE0A24" w:rsidR="004C29CA" w:rsidRDefault="00F35E6D" w:rsidP="00F35E6D">
      <w:pPr>
        <w:tabs>
          <w:tab w:val="left" w:pos="624"/>
        </w:tabs>
        <w:ind w:left="681" w:right="-35" w:hanging="397"/>
        <w:jc w:val="center"/>
        <w:rPr>
          <w:rFonts w:ascii="Bookman Old Style" w:hAnsi="Bookman Old Style" w:cs="Arial"/>
          <w:b/>
          <w:bCs/>
          <w:sz w:val="28"/>
          <w:szCs w:val="28"/>
          <w:lang w:val="el-GR"/>
        </w:rPr>
      </w:pPr>
      <w:r>
        <w:rPr>
          <w:rFonts w:ascii="Bookman Old Style" w:hAnsi="Bookman Old Style" w:cs="Arial"/>
          <w:b/>
          <w:bCs/>
          <w:sz w:val="28"/>
          <w:szCs w:val="28"/>
          <w:lang w:val="el-GR"/>
        </w:rPr>
        <w:t>(Δοθείσα Αυθημερόν)</w:t>
      </w:r>
    </w:p>
    <w:p w14:paraId="312AADAB" w14:textId="77777777" w:rsidR="0008462C" w:rsidRPr="007A0D8E" w:rsidRDefault="0008462C" w:rsidP="0000790C">
      <w:pPr>
        <w:tabs>
          <w:tab w:val="left" w:pos="624"/>
        </w:tabs>
        <w:ind w:left="681" w:right="-35" w:hanging="397"/>
        <w:jc w:val="both"/>
        <w:rPr>
          <w:rFonts w:ascii="Bookman Old Style" w:hAnsi="Bookman Old Style" w:cs="Arial"/>
          <w:b/>
          <w:bCs/>
          <w:sz w:val="28"/>
          <w:szCs w:val="28"/>
          <w:lang w:val="el-GR"/>
        </w:rPr>
      </w:pPr>
    </w:p>
    <w:p w14:paraId="4D5538E2" w14:textId="0A54211F" w:rsidR="005768FF" w:rsidRDefault="00341CDB" w:rsidP="00B509D3">
      <w:pPr>
        <w:pStyle w:val="Heading1"/>
        <w:spacing w:line="480" w:lineRule="auto"/>
        <w:jc w:val="both"/>
        <w:rPr>
          <w:rFonts w:ascii="Bookman Old Style" w:hAnsi="Bookman Old Style" w:cs="Arial"/>
          <w:b w:val="0"/>
          <w:bCs w:val="0"/>
          <w:sz w:val="28"/>
          <w:szCs w:val="28"/>
          <w:lang w:val="el-GR"/>
        </w:rPr>
      </w:pPr>
      <w:r>
        <w:rPr>
          <w:rFonts w:ascii="Bookman Old Style" w:hAnsi="Bookman Old Style" w:cs="Arial"/>
          <w:sz w:val="28"/>
          <w:szCs w:val="28"/>
          <w:lang w:val="el-GR"/>
        </w:rPr>
        <w:t xml:space="preserve">Λ. </w:t>
      </w:r>
      <w:r w:rsidR="007A0D8E" w:rsidRPr="00B07023">
        <w:rPr>
          <w:rFonts w:ascii="Bookman Old Style" w:hAnsi="Bookman Old Style" w:cs="Arial"/>
          <w:sz w:val="28"/>
          <w:szCs w:val="28"/>
          <w:lang w:val="el-GR"/>
        </w:rPr>
        <w:t>ΔΗΜΗΤΡΙΑΔΟΥ-ΑΝΔΡΕΟΥ</w:t>
      </w:r>
      <w:r w:rsidR="004C29CA" w:rsidRPr="00B07023">
        <w:rPr>
          <w:rFonts w:ascii="Bookman Old Style" w:hAnsi="Bookman Old Style" w:cs="Arial"/>
          <w:sz w:val="28"/>
          <w:szCs w:val="28"/>
          <w:lang w:val="el-GR"/>
        </w:rPr>
        <w:t>, Δ.:</w:t>
      </w:r>
      <w:r w:rsidR="008E79DE" w:rsidRPr="00B07023">
        <w:rPr>
          <w:rFonts w:ascii="Bookman Old Style" w:hAnsi="Bookman Old Style" w:cs="Arial"/>
          <w:sz w:val="28"/>
          <w:szCs w:val="28"/>
          <w:lang w:val="el-GR"/>
        </w:rPr>
        <w:t xml:space="preserve"> </w:t>
      </w:r>
      <w:r w:rsidR="00A92B4F" w:rsidRPr="00B509D3">
        <w:rPr>
          <w:rFonts w:ascii="Bookman Old Style" w:hAnsi="Bookman Old Style" w:cs="Arial"/>
          <w:b w:val="0"/>
          <w:bCs w:val="0"/>
          <w:sz w:val="28"/>
          <w:szCs w:val="28"/>
          <w:lang w:val="el-GR"/>
        </w:rPr>
        <w:t>Ενώπιον του Κακουργιοδικείου Πάφου δικάζεται η υπόθεση με αρ. 1875/2023, στην οποία ο Αιτητής είναι Κατηγορούμενος (Κατηγορούμενος 1) μαζί με άλλα πέντε πρόσωπα.</w:t>
      </w:r>
    </w:p>
    <w:p w14:paraId="36111DFE" w14:textId="77777777" w:rsidR="00B509D3" w:rsidRPr="00B509D3" w:rsidRDefault="00B509D3" w:rsidP="00B509D3">
      <w:pPr>
        <w:rPr>
          <w:lang w:val="el-GR"/>
        </w:rPr>
      </w:pPr>
    </w:p>
    <w:p w14:paraId="7B2B135F" w14:textId="16BBD55B" w:rsidR="00552DC2" w:rsidRPr="00152626" w:rsidRDefault="00A92B4F" w:rsidP="00C84479">
      <w:pPr>
        <w:pStyle w:val="Heading1"/>
        <w:spacing w:line="480" w:lineRule="auto"/>
        <w:jc w:val="both"/>
        <w:rPr>
          <w:rFonts w:ascii="Bookman Old Style" w:hAnsi="Bookman Old Style"/>
          <w:b w:val="0"/>
          <w:bCs w:val="0"/>
          <w:kern w:val="36"/>
          <w:sz w:val="28"/>
          <w:szCs w:val="28"/>
          <w:lang w:val="el-GR"/>
        </w:rPr>
      </w:pPr>
      <w:r w:rsidRPr="00C84479">
        <w:rPr>
          <w:rFonts w:ascii="Bookman Old Style" w:hAnsi="Bookman Old Style" w:cs="Arial"/>
          <w:b w:val="0"/>
          <w:bCs w:val="0"/>
          <w:sz w:val="28"/>
          <w:szCs w:val="28"/>
          <w:lang w:val="el-GR"/>
        </w:rPr>
        <w:t>Ενώ η ακροαματική διαδικασία ευρίσκετο σε εξέλιξη στο στάδιο της κυρίως εξέτασης του Α/Αστ. 2140, Β. Αιμιλίου, Μ.Κ.2, η Υπεράσπιση των Κατηγορουμένων 1, 2 και 4 έφεραν ένσταση στην κατάθεση ενώπιον του Δικαστηρίου ως Τεκμηρίων αντικειμένων που αναφέρονται σε κατάλογο Τεκμηρίων της Αστυνομίας (Τεκμήριο Β29). Καθόσον αφορά την ένσταση που προέβαλε ο συνήγορος του</w:t>
      </w:r>
      <w:r w:rsidR="002C16BD" w:rsidRPr="00C84479">
        <w:rPr>
          <w:rFonts w:ascii="Bookman Old Style" w:hAnsi="Bookman Old Style" w:cs="Arial"/>
          <w:b w:val="0"/>
          <w:bCs w:val="0"/>
          <w:sz w:val="28"/>
          <w:szCs w:val="28"/>
          <w:lang w:val="el-GR"/>
        </w:rPr>
        <w:t xml:space="preserve"> Κατηγορουμένου 2, </w:t>
      </w:r>
      <w:r w:rsidRPr="00C84479">
        <w:rPr>
          <w:rFonts w:ascii="Bookman Old Style" w:hAnsi="Bookman Old Style" w:cs="Arial"/>
          <w:b w:val="0"/>
          <w:bCs w:val="0"/>
          <w:sz w:val="28"/>
          <w:szCs w:val="28"/>
          <w:lang w:val="el-GR"/>
        </w:rPr>
        <w:t>αυτή αφορούσε</w:t>
      </w:r>
      <w:r w:rsidR="002C16BD" w:rsidRPr="00C84479">
        <w:rPr>
          <w:rFonts w:ascii="Bookman Old Style" w:hAnsi="Bookman Old Style" w:cs="Arial"/>
          <w:b w:val="0"/>
          <w:bCs w:val="0"/>
          <w:sz w:val="28"/>
          <w:szCs w:val="28"/>
          <w:lang w:val="el-GR"/>
        </w:rPr>
        <w:t xml:space="preserve"> το αντικείμενο με Α/Α 88 επί του Τεκμηρίου Β29, ήτοι σκληρό δίσκο </w:t>
      </w:r>
      <w:r w:rsidR="00152626">
        <w:rPr>
          <w:rFonts w:ascii="Bookman Old Style" w:hAnsi="Bookman Old Style" w:cs="Arial"/>
          <w:b w:val="0"/>
          <w:bCs w:val="0"/>
          <w:sz w:val="28"/>
          <w:szCs w:val="28"/>
          <w:lang w:val="el-GR"/>
        </w:rPr>
        <w:t xml:space="preserve">           </w:t>
      </w:r>
      <w:r w:rsidR="002C16BD" w:rsidRPr="00C84479">
        <w:rPr>
          <w:rFonts w:ascii="Bookman Old Style" w:hAnsi="Bookman Old Style" w:cs="Arial"/>
          <w:b w:val="0"/>
          <w:bCs w:val="0"/>
          <w:sz w:val="28"/>
          <w:szCs w:val="28"/>
          <w:lang w:val="en-US"/>
        </w:rPr>
        <w:t>SA</w:t>
      </w:r>
      <w:r w:rsidR="002C16BD" w:rsidRPr="00C84479">
        <w:rPr>
          <w:rFonts w:ascii="Bookman Old Style" w:hAnsi="Bookman Old Style" w:cs="Arial"/>
          <w:b w:val="0"/>
          <w:bCs w:val="0"/>
          <w:sz w:val="28"/>
          <w:szCs w:val="28"/>
          <w:lang w:val="el-GR"/>
        </w:rPr>
        <w:t>-</w:t>
      </w:r>
      <w:r w:rsidR="002C16BD" w:rsidRPr="00C84479">
        <w:rPr>
          <w:rFonts w:ascii="Bookman Old Style" w:hAnsi="Bookman Old Style" w:cs="Arial"/>
          <w:b w:val="0"/>
          <w:bCs w:val="0"/>
          <w:sz w:val="28"/>
          <w:szCs w:val="28"/>
          <w:lang w:val="en-US"/>
        </w:rPr>
        <w:t>HDD</w:t>
      </w:r>
      <w:r w:rsidR="002C16BD" w:rsidRPr="00C84479">
        <w:rPr>
          <w:rFonts w:ascii="Bookman Old Style" w:hAnsi="Bookman Old Style" w:cs="Arial"/>
          <w:b w:val="0"/>
          <w:bCs w:val="0"/>
          <w:sz w:val="28"/>
          <w:szCs w:val="28"/>
          <w:lang w:val="el-GR"/>
        </w:rPr>
        <w:t xml:space="preserve">, καθώς και το αντικείμενο με Α/Α 92 επί του Τεκμηρίου Β29, ήτοι </w:t>
      </w:r>
      <w:r w:rsidR="002C16BD" w:rsidRPr="00C84479">
        <w:rPr>
          <w:rFonts w:ascii="Bookman Old Style" w:hAnsi="Bookman Old Style" w:cs="Arial"/>
          <w:b w:val="0"/>
          <w:bCs w:val="0"/>
          <w:sz w:val="28"/>
          <w:szCs w:val="28"/>
          <w:lang w:val="en-US"/>
        </w:rPr>
        <w:t>DVD</w:t>
      </w:r>
      <w:r w:rsidR="002C16BD" w:rsidRPr="00C84479">
        <w:rPr>
          <w:rFonts w:ascii="Bookman Old Style" w:hAnsi="Bookman Old Style" w:cs="Arial"/>
          <w:b w:val="0"/>
          <w:bCs w:val="0"/>
          <w:sz w:val="28"/>
          <w:szCs w:val="28"/>
          <w:lang w:val="el-GR"/>
        </w:rPr>
        <w:t>-</w:t>
      </w:r>
      <w:r w:rsidR="002C16BD" w:rsidRPr="00C84479">
        <w:rPr>
          <w:rFonts w:ascii="Bookman Old Style" w:hAnsi="Bookman Old Style" w:cs="Arial"/>
          <w:b w:val="0"/>
          <w:bCs w:val="0"/>
          <w:sz w:val="28"/>
          <w:szCs w:val="28"/>
          <w:lang w:val="en-US"/>
        </w:rPr>
        <w:t>R</w:t>
      </w:r>
      <w:r w:rsidR="002C16BD" w:rsidRPr="00C84479">
        <w:rPr>
          <w:rFonts w:ascii="Bookman Old Style" w:hAnsi="Bookman Old Style" w:cs="Arial"/>
          <w:b w:val="0"/>
          <w:bCs w:val="0"/>
          <w:sz w:val="28"/>
          <w:szCs w:val="28"/>
          <w:lang w:val="el-GR"/>
        </w:rPr>
        <w:t xml:space="preserve"> (</w:t>
      </w:r>
      <w:r w:rsidR="002C16BD" w:rsidRPr="00C84479">
        <w:rPr>
          <w:rFonts w:ascii="Bookman Old Style" w:hAnsi="Bookman Old Style" w:cs="Arial"/>
          <w:b w:val="0"/>
          <w:bCs w:val="0"/>
          <w:sz w:val="28"/>
          <w:szCs w:val="28"/>
          <w:lang w:val="en-US"/>
        </w:rPr>
        <w:t>HASKOS</w:t>
      </w:r>
      <w:r w:rsidR="002C16BD" w:rsidRPr="00C84479">
        <w:rPr>
          <w:rFonts w:ascii="Bookman Old Style" w:hAnsi="Bookman Old Style" w:cs="Arial"/>
          <w:b w:val="0"/>
          <w:bCs w:val="0"/>
          <w:sz w:val="28"/>
          <w:szCs w:val="28"/>
          <w:lang w:val="el-GR"/>
        </w:rPr>
        <w:t xml:space="preserve">). Συμφώνως </w:t>
      </w:r>
      <w:r w:rsidRPr="00C84479">
        <w:rPr>
          <w:rFonts w:ascii="Bookman Old Style" w:hAnsi="Bookman Old Style" w:cs="Arial"/>
          <w:b w:val="0"/>
          <w:bCs w:val="0"/>
          <w:sz w:val="28"/>
          <w:szCs w:val="28"/>
          <w:lang w:val="el-GR"/>
        </w:rPr>
        <w:t>με τα όσα υποστήριξε ο συνήγορος του</w:t>
      </w:r>
      <w:r w:rsidR="002C16BD" w:rsidRPr="00C84479">
        <w:rPr>
          <w:rFonts w:ascii="Bookman Old Style" w:hAnsi="Bookman Old Style" w:cs="Arial"/>
          <w:b w:val="0"/>
          <w:bCs w:val="0"/>
          <w:sz w:val="28"/>
          <w:szCs w:val="28"/>
          <w:lang w:val="el-GR"/>
        </w:rPr>
        <w:t xml:space="preserve"> Κατηγορουμένου 2</w:t>
      </w:r>
      <w:r w:rsidRPr="00C84479">
        <w:rPr>
          <w:rFonts w:ascii="Bookman Old Style" w:hAnsi="Bookman Old Style" w:cs="Arial"/>
          <w:b w:val="0"/>
          <w:bCs w:val="0"/>
          <w:sz w:val="28"/>
          <w:szCs w:val="28"/>
          <w:lang w:val="el-GR"/>
        </w:rPr>
        <w:t>, η ένσταση</w:t>
      </w:r>
      <w:r w:rsidR="00552DC2" w:rsidRPr="00C84479">
        <w:rPr>
          <w:rFonts w:ascii="Bookman Old Style" w:hAnsi="Bookman Old Style" w:cs="Arial"/>
          <w:b w:val="0"/>
          <w:bCs w:val="0"/>
          <w:sz w:val="28"/>
          <w:szCs w:val="28"/>
          <w:lang w:val="el-GR"/>
        </w:rPr>
        <w:t xml:space="preserve"> καθόσον αφορά το σκληρό δίσκο συνίσταται στο ότι αποτελούσε προϊόν παραβίασης των </w:t>
      </w:r>
      <w:r w:rsidR="00552DC2" w:rsidRPr="00B509D3">
        <w:rPr>
          <w:rFonts w:ascii="Bookman Old Style" w:hAnsi="Bookman Old Style" w:cs="Arial"/>
          <w:i/>
          <w:iCs/>
          <w:sz w:val="28"/>
          <w:szCs w:val="28"/>
          <w:lang w:val="el-GR"/>
        </w:rPr>
        <w:t>Άρθρων 15, 17</w:t>
      </w:r>
      <w:r w:rsidR="00552DC2" w:rsidRPr="00C84479">
        <w:rPr>
          <w:rFonts w:ascii="Bookman Old Style" w:hAnsi="Bookman Old Style" w:cs="Arial"/>
          <w:b w:val="0"/>
          <w:bCs w:val="0"/>
          <w:i/>
          <w:iCs/>
          <w:sz w:val="28"/>
          <w:szCs w:val="28"/>
          <w:lang w:val="el-GR"/>
        </w:rPr>
        <w:t xml:space="preserve"> </w:t>
      </w:r>
      <w:r w:rsidR="00552DC2" w:rsidRPr="00152626">
        <w:rPr>
          <w:rFonts w:ascii="Bookman Old Style" w:hAnsi="Bookman Old Style" w:cs="Arial"/>
          <w:b w:val="0"/>
          <w:bCs w:val="0"/>
          <w:sz w:val="28"/>
          <w:szCs w:val="28"/>
          <w:lang w:val="el-GR"/>
        </w:rPr>
        <w:t>και</w:t>
      </w:r>
      <w:r w:rsidR="00552DC2" w:rsidRPr="00C84479">
        <w:rPr>
          <w:rFonts w:ascii="Bookman Old Style" w:hAnsi="Bookman Old Style" w:cs="Arial"/>
          <w:b w:val="0"/>
          <w:bCs w:val="0"/>
          <w:i/>
          <w:iCs/>
          <w:sz w:val="28"/>
          <w:szCs w:val="28"/>
          <w:lang w:val="el-GR"/>
        </w:rPr>
        <w:t xml:space="preserve"> </w:t>
      </w:r>
      <w:r w:rsidR="00552DC2" w:rsidRPr="00B509D3">
        <w:rPr>
          <w:rFonts w:ascii="Bookman Old Style" w:hAnsi="Bookman Old Style" w:cs="Arial"/>
          <w:i/>
          <w:iCs/>
          <w:sz w:val="28"/>
          <w:szCs w:val="28"/>
          <w:lang w:val="el-GR"/>
        </w:rPr>
        <w:t>19</w:t>
      </w:r>
      <w:r w:rsidR="00552DC2" w:rsidRPr="00C84479">
        <w:rPr>
          <w:rFonts w:ascii="Bookman Old Style" w:hAnsi="Bookman Old Style" w:cs="Arial"/>
          <w:b w:val="0"/>
          <w:bCs w:val="0"/>
          <w:i/>
          <w:iCs/>
          <w:sz w:val="28"/>
          <w:szCs w:val="28"/>
          <w:lang w:val="el-GR"/>
        </w:rPr>
        <w:t xml:space="preserve"> </w:t>
      </w:r>
      <w:r w:rsidR="00552DC2" w:rsidRPr="00B509D3">
        <w:rPr>
          <w:rFonts w:ascii="Bookman Old Style" w:hAnsi="Bookman Old Style" w:cs="Arial"/>
          <w:b w:val="0"/>
          <w:bCs w:val="0"/>
          <w:sz w:val="28"/>
          <w:szCs w:val="28"/>
          <w:lang w:val="el-GR"/>
        </w:rPr>
        <w:t>του</w:t>
      </w:r>
      <w:r w:rsidR="00552DC2" w:rsidRPr="00C84479">
        <w:rPr>
          <w:rFonts w:ascii="Bookman Old Style" w:hAnsi="Bookman Old Style" w:cs="Arial"/>
          <w:b w:val="0"/>
          <w:bCs w:val="0"/>
          <w:i/>
          <w:iCs/>
          <w:sz w:val="28"/>
          <w:szCs w:val="28"/>
          <w:lang w:val="el-GR"/>
        </w:rPr>
        <w:t xml:space="preserve"> </w:t>
      </w:r>
      <w:r w:rsidR="00552DC2" w:rsidRPr="00B509D3">
        <w:rPr>
          <w:rFonts w:ascii="Bookman Old Style" w:hAnsi="Bookman Old Style" w:cs="Arial"/>
          <w:i/>
          <w:iCs/>
          <w:sz w:val="28"/>
          <w:szCs w:val="28"/>
          <w:lang w:val="el-GR"/>
        </w:rPr>
        <w:t>Συντάγματος</w:t>
      </w:r>
      <w:r w:rsidR="00552DC2" w:rsidRPr="00B509D3">
        <w:rPr>
          <w:rFonts w:ascii="Bookman Old Style" w:hAnsi="Bookman Old Style" w:cs="Arial"/>
          <w:sz w:val="28"/>
          <w:szCs w:val="28"/>
          <w:lang w:val="el-GR"/>
        </w:rPr>
        <w:t xml:space="preserve"> </w:t>
      </w:r>
      <w:r w:rsidR="00552DC2" w:rsidRPr="00C84479">
        <w:rPr>
          <w:rFonts w:ascii="Bookman Old Style" w:hAnsi="Bookman Old Style" w:cs="Arial"/>
          <w:b w:val="0"/>
          <w:bCs w:val="0"/>
          <w:sz w:val="28"/>
          <w:szCs w:val="28"/>
          <w:lang w:val="el-GR"/>
        </w:rPr>
        <w:t xml:space="preserve">τα οποία κατοχυρώνουν και προστατεύουν το δικαίωμα της </w:t>
      </w:r>
      <w:r w:rsidR="00552DC2" w:rsidRPr="00C84479">
        <w:rPr>
          <w:rFonts w:ascii="Bookman Old Style" w:hAnsi="Bookman Old Style" w:cs="Arial"/>
          <w:b w:val="0"/>
          <w:bCs w:val="0"/>
          <w:sz w:val="28"/>
          <w:szCs w:val="28"/>
          <w:lang w:val="el-GR"/>
        </w:rPr>
        <w:lastRenderedPageBreak/>
        <w:t>ιδιωτικής ζωής, το απόρρητο της επικοινωνίας και της ελευθερίας της έκφρασης. Προβλήθηκε ότι εμπεριείχε μαρτυρία η οποία λήφθηκε με τρόπο που δεν αναφέρετο στο εξουσιοδοτικό δικαστικό διάταγμα, το οποίο αφορούσε πρόσβαση, επιθεώρηση και λήψη περιεχομένου επικοινωνίας. Προβλήθηκε ότι το εν λόγω Τεκμήριο εμπεριείχε μαρτυρία η οποία είναι ιδιωτική επικοινωνία και ήταν αποτέλεσμα υποκλοπής και/ή παρακολούθησης, υπό την έννοια ότι αυτή έγινε κατά παράβαση του</w:t>
      </w:r>
      <w:r w:rsidR="00C84479">
        <w:rPr>
          <w:rFonts w:ascii="Bookman Old Style" w:hAnsi="Bookman Old Style" w:cs="Arial"/>
          <w:b w:val="0"/>
          <w:bCs w:val="0"/>
          <w:sz w:val="28"/>
          <w:szCs w:val="28"/>
          <w:lang w:val="el-GR"/>
        </w:rPr>
        <w:t xml:space="preserve"> </w:t>
      </w:r>
      <w:r w:rsidR="00C84479" w:rsidRPr="00152626">
        <w:rPr>
          <w:rFonts w:ascii="Bookman Old Style" w:hAnsi="Bookman Old Style"/>
          <w:i/>
          <w:iCs/>
          <w:kern w:val="36"/>
          <w:sz w:val="28"/>
          <w:szCs w:val="28"/>
          <w:lang w:val="el-GR"/>
        </w:rPr>
        <w:t>περί Προστασίας του Απόρρητου της Ιδιωτικής Επικοινωνίας (Παρακολούθηση Συνδιαλέξεων και Πρόσβαση σε Καταγεγραμμένο Περιεχόμενο Ιδιωτικής Επικοινωνίας) Νόμο</w:t>
      </w:r>
      <w:r w:rsidR="00B509D3">
        <w:rPr>
          <w:rFonts w:ascii="Bookman Old Style" w:hAnsi="Bookman Old Style"/>
          <w:i/>
          <w:iCs/>
          <w:kern w:val="36"/>
          <w:sz w:val="28"/>
          <w:szCs w:val="28"/>
          <w:lang w:val="el-GR"/>
        </w:rPr>
        <w:t>υ</w:t>
      </w:r>
      <w:r w:rsidR="00C84479" w:rsidRPr="00152626">
        <w:rPr>
          <w:rFonts w:ascii="Bookman Old Style" w:hAnsi="Bookman Old Style"/>
          <w:i/>
          <w:iCs/>
          <w:kern w:val="36"/>
          <w:sz w:val="28"/>
          <w:szCs w:val="28"/>
          <w:lang w:val="el-GR"/>
        </w:rPr>
        <w:t xml:space="preserve"> του 1996</w:t>
      </w:r>
      <w:r w:rsidR="00B509D3">
        <w:rPr>
          <w:rFonts w:ascii="Bookman Old Style" w:hAnsi="Bookman Old Style"/>
          <w:i/>
          <w:iCs/>
          <w:kern w:val="36"/>
          <w:sz w:val="28"/>
          <w:szCs w:val="28"/>
          <w:lang w:val="el-GR"/>
        </w:rPr>
        <w:t>,                         Ν.</w:t>
      </w:r>
      <w:r w:rsidR="00552DC2" w:rsidRPr="00552DC2">
        <w:rPr>
          <w:rFonts w:ascii="Bookman Old Style" w:hAnsi="Bookman Old Style" w:cs="Arial"/>
          <w:i/>
          <w:iCs/>
          <w:sz w:val="28"/>
          <w:szCs w:val="28"/>
          <w:lang w:val="el-GR"/>
        </w:rPr>
        <w:t xml:space="preserve"> 92(Ι)/1996</w:t>
      </w:r>
      <w:r w:rsidR="00552DC2" w:rsidRPr="00B509D3">
        <w:rPr>
          <w:rFonts w:ascii="Bookman Old Style" w:hAnsi="Bookman Old Style" w:cs="Arial"/>
          <w:b w:val="0"/>
          <w:bCs w:val="0"/>
          <w:sz w:val="28"/>
          <w:szCs w:val="28"/>
          <w:lang w:val="el-GR"/>
        </w:rPr>
        <w:t>.</w:t>
      </w:r>
      <w:r w:rsidR="00552DC2">
        <w:rPr>
          <w:rFonts w:ascii="Bookman Old Style" w:hAnsi="Bookman Old Style" w:cs="Arial"/>
          <w:sz w:val="28"/>
          <w:szCs w:val="28"/>
          <w:lang w:val="el-GR"/>
        </w:rPr>
        <w:t xml:space="preserve"> </w:t>
      </w:r>
      <w:r w:rsidR="00552DC2" w:rsidRPr="00C84479">
        <w:rPr>
          <w:rFonts w:ascii="Bookman Old Style" w:hAnsi="Bookman Old Style" w:cs="Arial"/>
          <w:b w:val="0"/>
          <w:bCs w:val="0"/>
          <w:sz w:val="28"/>
          <w:szCs w:val="28"/>
          <w:lang w:val="el-GR"/>
        </w:rPr>
        <w:t xml:space="preserve">Ήταν η θέση της Υπεράσπισης του Κατηγορουμένου 2 ότι το εν λόγω Τεκμήριο εμπεριείχε μαρτυρία η οποία αφορούσε αυστηρά στην ιδιωτική και προσωπική ζωή τόσο των Κατηγορουμένων, αλλά και άλλων προσώπων. </w:t>
      </w:r>
    </w:p>
    <w:p w14:paraId="66D564B4" w14:textId="77777777" w:rsidR="00552DC2" w:rsidRPr="00C84479" w:rsidRDefault="00552DC2" w:rsidP="00552DC2">
      <w:pPr>
        <w:spacing w:line="480" w:lineRule="auto"/>
        <w:ind w:right="-35"/>
        <w:jc w:val="both"/>
        <w:rPr>
          <w:rFonts w:ascii="Bookman Old Style" w:hAnsi="Bookman Old Style" w:cs="Arial"/>
          <w:sz w:val="28"/>
          <w:szCs w:val="28"/>
          <w:lang w:val="el-GR"/>
        </w:rPr>
      </w:pPr>
    </w:p>
    <w:p w14:paraId="4AA5A169" w14:textId="4C1129E7" w:rsidR="00552DC2" w:rsidRDefault="00552DC2" w:rsidP="00552DC2">
      <w:pPr>
        <w:spacing w:line="480" w:lineRule="auto"/>
        <w:ind w:right="-35"/>
        <w:jc w:val="both"/>
        <w:rPr>
          <w:rFonts w:ascii="Bookman Old Style" w:hAnsi="Bookman Old Style" w:cs="Arial"/>
          <w:sz w:val="28"/>
          <w:szCs w:val="28"/>
          <w:lang w:val="el-GR"/>
        </w:rPr>
      </w:pPr>
      <w:r>
        <w:rPr>
          <w:rFonts w:ascii="Bookman Old Style" w:hAnsi="Bookman Old Style" w:cs="Arial"/>
          <w:sz w:val="28"/>
          <w:szCs w:val="28"/>
          <w:lang w:val="el-GR"/>
        </w:rPr>
        <w:t xml:space="preserve">Σε ό,τι αφορά το </w:t>
      </w:r>
      <w:r>
        <w:rPr>
          <w:rFonts w:ascii="Bookman Old Style" w:hAnsi="Bookman Old Style" w:cs="Arial"/>
          <w:sz w:val="28"/>
          <w:szCs w:val="28"/>
          <w:lang w:val="en-US"/>
        </w:rPr>
        <w:t>DVD</w:t>
      </w:r>
      <w:r w:rsidRPr="00552DC2">
        <w:rPr>
          <w:rFonts w:ascii="Bookman Old Style" w:hAnsi="Bookman Old Style" w:cs="Arial"/>
          <w:sz w:val="28"/>
          <w:szCs w:val="28"/>
          <w:lang w:val="el-GR"/>
        </w:rPr>
        <w:t>-</w:t>
      </w:r>
      <w:r>
        <w:rPr>
          <w:rFonts w:ascii="Bookman Old Style" w:hAnsi="Bookman Old Style" w:cs="Arial"/>
          <w:sz w:val="28"/>
          <w:szCs w:val="28"/>
          <w:lang w:val="en-US"/>
        </w:rPr>
        <w:t>R</w:t>
      </w:r>
      <w:r w:rsidRPr="00552DC2">
        <w:rPr>
          <w:rFonts w:ascii="Bookman Old Style" w:hAnsi="Bookman Old Style" w:cs="Arial"/>
          <w:sz w:val="28"/>
          <w:szCs w:val="28"/>
          <w:lang w:val="el-GR"/>
        </w:rPr>
        <w:t xml:space="preserve"> (</w:t>
      </w:r>
      <w:r>
        <w:rPr>
          <w:rFonts w:ascii="Bookman Old Style" w:hAnsi="Bookman Old Style" w:cs="Arial"/>
          <w:sz w:val="28"/>
          <w:szCs w:val="28"/>
          <w:lang w:val="en-US"/>
        </w:rPr>
        <w:t>HASKOS</w:t>
      </w:r>
      <w:r w:rsidRPr="00552DC2">
        <w:rPr>
          <w:rFonts w:ascii="Bookman Old Style" w:hAnsi="Bookman Old Style" w:cs="Arial"/>
          <w:sz w:val="28"/>
          <w:szCs w:val="28"/>
          <w:lang w:val="el-GR"/>
        </w:rPr>
        <w:t>)</w:t>
      </w:r>
      <w:r>
        <w:rPr>
          <w:rFonts w:ascii="Bookman Old Style" w:hAnsi="Bookman Old Style" w:cs="Arial"/>
          <w:sz w:val="28"/>
          <w:szCs w:val="28"/>
          <w:lang w:val="el-GR"/>
        </w:rPr>
        <w:t xml:space="preserve"> προβλήθηκε και εδώ η θέση από πλευράς της Υπεράσπισης του Κατηγορουμένου 2 πως αποτελεί προϊόν παραβίασης του δικαιώματος της ιδιωτικής ζωής, το οποίο κατοχυρώνεται από το </w:t>
      </w:r>
      <w:r>
        <w:rPr>
          <w:rFonts w:ascii="Bookman Old Style" w:hAnsi="Bookman Old Style" w:cs="Arial"/>
          <w:b/>
          <w:bCs/>
          <w:i/>
          <w:iCs/>
          <w:sz w:val="28"/>
          <w:szCs w:val="28"/>
          <w:lang w:val="el-GR"/>
        </w:rPr>
        <w:t xml:space="preserve">Άρθρο 15 </w:t>
      </w:r>
      <w:r w:rsidRPr="0013153E">
        <w:rPr>
          <w:rFonts w:ascii="Bookman Old Style" w:hAnsi="Bookman Old Style" w:cs="Arial"/>
          <w:sz w:val="28"/>
          <w:szCs w:val="28"/>
          <w:lang w:val="el-GR"/>
        </w:rPr>
        <w:t>του</w:t>
      </w:r>
      <w:r>
        <w:rPr>
          <w:rFonts w:ascii="Bookman Old Style" w:hAnsi="Bookman Old Style" w:cs="Arial"/>
          <w:b/>
          <w:bCs/>
          <w:i/>
          <w:iCs/>
          <w:sz w:val="28"/>
          <w:szCs w:val="28"/>
          <w:lang w:val="el-GR"/>
        </w:rPr>
        <w:t xml:space="preserve"> Συντάγματος, </w:t>
      </w:r>
      <w:r w:rsidRPr="00552DC2">
        <w:rPr>
          <w:rFonts w:ascii="Bookman Old Style" w:hAnsi="Bookman Old Style" w:cs="Arial"/>
          <w:sz w:val="28"/>
          <w:szCs w:val="28"/>
          <w:lang w:val="el-GR"/>
        </w:rPr>
        <w:t>στο</w:t>
      </w:r>
      <w:r>
        <w:rPr>
          <w:rFonts w:ascii="Bookman Old Style" w:hAnsi="Bookman Old Style" w:cs="Arial"/>
          <w:b/>
          <w:bCs/>
          <w:i/>
          <w:iCs/>
          <w:sz w:val="28"/>
          <w:szCs w:val="28"/>
          <w:lang w:val="el-GR"/>
        </w:rPr>
        <w:t xml:space="preserve"> Άρθρο 8 </w:t>
      </w:r>
      <w:r w:rsidRPr="0013153E">
        <w:rPr>
          <w:rFonts w:ascii="Bookman Old Style" w:hAnsi="Bookman Old Style" w:cs="Arial"/>
          <w:sz w:val="28"/>
          <w:szCs w:val="28"/>
          <w:lang w:val="el-GR"/>
        </w:rPr>
        <w:t>της</w:t>
      </w:r>
      <w:r>
        <w:rPr>
          <w:rFonts w:ascii="Bookman Old Style" w:hAnsi="Bookman Old Style" w:cs="Arial"/>
          <w:b/>
          <w:bCs/>
          <w:i/>
          <w:iCs/>
          <w:sz w:val="28"/>
          <w:szCs w:val="28"/>
          <w:lang w:val="el-GR"/>
        </w:rPr>
        <w:t xml:space="preserve"> ΕΣΔΑ </w:t>
      </w:r>
      <w:r w:rsidRPr="0013153E">
        <w:rPr>
          <w:rFonts w:ascii="Bookman Old Style" w:hAnsi="Bookman Old Style" w:cs="Arial"/>
          <w:sz w:val="28"/>
          <w:szCs w:val="28"/>
          <w:lang w:val="el-GR"/>
        </w:rPr>
        <w:t>και στο</w:t>
      </w:r>
      <w:r>
        <w:rPr>
          <w:rFonts w:ascii="Bookman Old Style" w:hAnsi="Bookman Old Style" w:cs="Arial"/>
          <w:b/>
          <w:bCs/>
          <w:i/>
          <w:iCs/>
          <w:sz w:val="28"/>
          <w:szCs w:val="28"/>
          <w:lang w:val="el-GR"/>
        </w:rPr>
        <w:t xml:space="preserve"> Άρθρο 7 του Χάρτη των Θεμελιωδών Δικαιωμάτων του Ανθρώπου της Ευρωπαϊκής Ένωσης</w:t>
      </w:r>
      <w:r>
        <w:rPr>
          <w:rFonts w:ascii="Bookman Old Style" w:hAnsi="Bookman Old Style" w:cs="Arial"/>
          <w:sz w:val="28"/>
          <w:szCs w:val="28"/>
          <w:lang w:val="el-GR"/>
        </w:rPr>
        <w:t xml:space="preserve">, καθώς και του </w:t>
      </w:r>
      <w:r>
        <w:rPr>
          <w:rFonts w:ascii="Bookman Old Style" w:hAnsi="Bookman Old Style" w:cs="Arial"/>
          <w:b/>
          <w:bCs/>
          <w:i/>
          <w:iCs/>
          <w:sz w:val="28"/>
          <w:szCs w:val="28"/>
          <w:lang w:val="el-GR"/>
        </w:rPr>
        <w:t xml:space="preserve">Άρθρου 8 </w:t>
      </w:r>
      <w:r w:rsidRPr="00552DC2">
        <w:rPr>
          <w:rFonts w:ascii="Bookman Old Style" w:hAnsi="Bookman Old Style" w:cs="Arial"/>
          <w:sz w:val="28"/>
          <w:szCs w:val="28"/>
          <w:lang w:val="el-GR"/>
        </w:rPr>
        <w:t xml:space="preserve">του εν λόγω </w:t>
      </w:r>
      <w:r w:rsidRPr="00552DC2">
        <w:rPr>
          <w:rFonts w:ascii="Bookman Old Style" w:hAnsi="Bookman Old Style" w:cs="Arial"/>
          <w:b/>
          <w:bCs/>
          <w:i/>
          <w:iCs/>
          <w:sz w:val="28"/>
          <w:szCs w:val="28"/>
          <w:lang w:val="el-GR"/>
        </w:rPr>
        <w:t xml:space="preserve">Χάρτη </w:t>
      </w:r>
      <w:r w:rsidRPr="00552DC2">
        <w:rPr>
          <w:rFonts w:ascii="Bookman Old Style" w:hAnsi="Bookman Old Style" w:cs="Arial"/>
          <w:sz w:val="28"/>
          <w:szCs w:val="28"/>
          <w:lang w:val="el-GR"/>
        </w:rPr>
        <w:lastRenderedPageBreak/>
        <w:t>που αφορά στην προστασία δεδομένων προσωπικού χαρακτήρα.</w:t>
      </w:r>
      <w:r>
        <w:rPr>
          <w:rFonts w:ascii="Bookman Old Style" w:hAnsi="Bookman Old Style" w:cs="Arial"/>
          <w:sz w:val="28"/>
          <w:szCs w:val="28"/>
          <w:lang w:val="el-GR"/>
        </w:rPr>
        <w:t xml:space="preserve"> Υποστηρίχθηκε, εν προκειμένω, ότι το εν λόγω Τεκμήριο εμπεριείχε εικόνες, αλλά και βίντεο, της προσωπικής και ιδιωτικής ζωής του Κατηγορουμένου 2 και ότι λήφθηκε εν αγνοία του και χωρίς τη συγκατάθεσή του.</w:t>
      </w:r>
    </w:p>
    <w:p w14:paraId="58C486C3" w14:textId="77777777" w:rsidR="00552DC2" w:rsidRDefault="00552DC2" w:rsidP="00552DC2">
      <w:pPr>
        <w:spacing w:line="480" w:lineRule="auto"/>
        <w:ind w:right="-35"/>
        <w:jc w:val="both"/>
        <w:rPr>
          <w:rFonts w:ascii="Bookman Old Style" w:hAnsi="Bookman Old Style" w:cs="Arial"/>
          <w:sz w:val="28"/>
          <w:szCs w:val="28"/>
          <w:lang w:val="el-GR"/>
        </w:rPr>
      </w:pPr>
    </w:p>
    <w:p w14:paraId="61E01AE5" w14:textId="111E9A5D" w:rsidR="00C330C0" w:rsidRDefault="00C330C0" w:rsidP="0000790C">
      <w:pPr>
        <w:spacing w:line="480" w:lineRule="auto"/>
        <w:ind w:right="-35"/>
        <w:jc w:val="both"/>
        <w:rPr>
          <w:rFonts w:ascii="Bookman Old Style" w:hAnsi="Bookman Old Style" w:cs="Arial"/>
          <w:sz w:val="28"/>
          <w:szCs w:val="28"/>
          <w:lang w:val="el-GR"/>
        </w:rPr>
      </w:pPr>
      <w:r>
        <w:rPr>
          <w:rFonts w:ascii="Bookman Old Style" w:hAnsi="Bookman Old Style" w:cs="Arial"/>
          <w:sz w:val="28"/>
          <w:szCs w:val="28"/>
          <w:lang w:val="el-GR"/>
        </w:rPr>
        <w:t xml:space="preserve">Ως αποτέλεσμα της έγερσης της πιο πάνω ένστασης, καθώς και άλλων ενστάσεων από πλευράς των συνηγόρων των Κατηγορουμένων </w:t>
      </w:r>
      <w:r w:rsidR="0013153E">
        <w:rPr>
          <w:rFonts w:ascii="Bookman Old Style" w:hAnsi="Bookman Old Style" w:cs="Arial"/>
          <w:sz w:val="28"/>
          <w:szCs w:val="28"/>
          <w:lang w:val="el-GR"/>
        </w:rPr>
        <w:t>1</w:t>
      </w:r>
      <w:r>
        <w:rPr>
          <w:rFonts w:ascii="Bookman Old Style" w:hAnsi="Bookman Old Style" w:cs="Arial"/>
          <w:sz w:val="28"/>
          <w:szCs w:val="28"/>
          <w:lang w:val="el-GR"/>
        </w:rPr>
        <w:t xml:space="preserve"> και 4 και για να αποφανθεί κατά πόσο θα αποδεχθεί την κατάθεση ως Τεκμηρίων των συγκεκριμένων αντικειμένων, το Κακουργιοδικείο διέταξε τη διεξαγωγή δίκης εντός δίκης. </w:t>
      </w:r>
    </w:p>
    <w:p w14:paraId="0BE7F823" w14:textId="77777777" w:rsidR="005F42CF" w:rsidRDefault="005F42CF" w:rsidP="0000790C">
      <w:pPr>
        <w:spacing w:line="480" w:lineRule="auto"/>
        <w:ind w:right="-35"/>
        <w:jc w:val="both"/>
        <w:rPr>
          <w:rFonts w:ascii="Bookman Old Style" w:hAnsi="Bookman Old Style" w:cs="Arial"/>
          <w:sz w:val="28"/>
          <w:szCs w:val="28"/>
          <w:lang w:val="el-GR"/>
        </w:rPr>
      </w:pPr>
    </w:p>
    <w:p w14:paraId="3255B811" w14:textId="77777777" w:rsidR="0013153E" w:rsidRDefault="00091204" w:rsidP="0000790C">
      <w:pPr>
        <w:spacing w:line="480" w:lineRule="auto"/>
        <w:ind w:right="-35"/>
        <w:jc w:val="both"/>
        <w:rPr>
          <w:rFonts w:ascii="Bookman Old Style" w:hAnsi="Bookman Old Style" w:cs="Arial"/>
          <w:sz w:val="28"/>
          <w:szCs w:val="28"/>
          <w:lang w:val="el-GR"/>
        </w:rPr>
      </w:pPr>
      <w:r>
        <w:rPr>
          <w:rFonts w:ascii="Bookman Old Style" w:hAnsi="Bookman Old Style" w:cs="Arial"/>
          <w:sz w:val="28"/>
          <w:szCs w:val="28"/>
          <w:lang w:val="el-GR"/>
        </w:rPr>
        <w:t>Αφού άκουσε σχετική μαρτυρία στο πλαίσιο της δίκης εντός δίκης, απέρριψε</w:t>
      </w:r>
      <w:r w:rsidR="0013153E">
        <w:rPr>
          <w:rFonts w:ascii="Bookman Old Style" w:hAnsi="Bookman Old Style" w:cs="Arial"/>
          <w:sz w:val="28"/>
          <w:szCs w:val="28"/>
          <w:lang w:val="el-GR"/>
        </w:rPr>
        <w:t>, μεταξύ άλλων,</w:t>
      </w:r>
      <w:r>
        <w:rPr>
          <w:rFonts w:ascii="Bookman Old Style" w:hAnsi="Bookman Old Style" w:cs="Arial"/>
          <w:sz w:val="28"/>
          <w:szCs w:val="28"/>
          <w:lang w:val="el-GR"/>
        </w:rPr>
        <w:t xml:space="preserve"> την ένσταση της Υπεράσπισης του </w:t>
      </w:r>
      <w:r w:rsidR="0013153E">
        <w:rPr>
          <w:rFonts w:ascii="Bookman Old Style" w:hAnsi="Bookman Old Style" w:cs="Arial"/>
          <w:sz w:val="28"/>
          <w:szCs w:val="28"/>
          <w:lang w:val="el-GR"/>
        </w:rPr>
        <w:t>Κατηγορουμένου 2</w:t>
      </w:r>
      <w:r>
        <w:rPr>
          <w:rFonts w:ascii="Bookman Old Style" w:hAnsi="Bookman Old Style" w:cs="Arial"/>
          <w:sz w:val="28"/>
          <w:szCs w:val="28"/>
          <w:lang w:val="el-GR"/>
        </w:rPr>
        <w:t xml:space="preserve"> με Απόφαση που εξέδωσε στις 28/3/2024 (εφεξής «</w:t>
      </w:r>
      <w:r>
        <w:rPr>
          <w:rFonts w:ascii="Bookman Old Style" w:hAnsi="Bookman Old Style" w:cs="Arial"/>
          <w:i/>
          <w:iCs/>
          <w:sz w:val="28"/>
          <w:szCs w:val="28"/>
          <w:lang w:val="el-GR"/>
        </w:rPr>
        <w:t>η προσβαλλόμενη Απόφαση</w:t>
      </w:r>
      <w:r>
        <w:rPr>
          <w:rFonts w:ascii="Bookman Old Style" w:hAnsi="Bookman Old Style" w:cs="Arial"/>
          <w:sz w:val="28"/>
          <w:szCs w:val="28"/>
          <w:lang w:val="el-GR"/>
        </w:rPr>
        <w:t>»), κρίνοντας τα</w:t>
      </w:r>
      <w:r w:rsidR="0013153E">
        <w:rPr>
          <w:rFonts w:ascii="Bookman Old Style" w:hAnsi="Bookman Old Style" w:cs="Arial"/>
          <w:sz w:val="28"/>
          <w:szCs w:val="28"/>
          <w:lang w:val="el-GR"/>
        </w:rPr>
        <w:t xml:space="preserve"> ακόλουθα:</w:t>
      </w:r>
    </w:p>
    <w:p w14:paraId="782C7E1D" w14:textId="77777777" w:rsidR="00247D45" w:rsidRDefault="00247D45" w:rsidP="0000790C">
      <w:pPr>
        <w:spacing w:line="480" w:lineRule="auto"/>
        <w:ind w:right="-35"/>
        <w:jc w:val="both"/>
        <w:rPr>
          <w:rFonts w:ascii="Bookman Old Style" w:hAnsi="Bookman Old Style" w:cs="Arial"/>
          <w:sz w:val="28"/>
          <w:szCs w:val="28"/>
          <w:lang w:val="el-GR"/>
        </w:rPr>
      </w:pPr>
    </w:p>
    <w:p w14:paraId="3AA8DCC1" w14:textId="5DE5F568" w:rsidR="00247D45" w:rsidRPr="005521CA" w:rsidRDefault="00247D45" w:rsidP="001A1387">
      <w:pPr>
        <w:spacing w:line="413" w:lineRule="exact"/>
        <w:ind w:left="426" w:right="248"/>
        <w:jc w:val="both"/>
        <w:rPr>
          <w:rFonts w:ascii="Bookman Old Style" w:hAnsi="Bookman Old Style" w:cs="Arial"/>
          <w:i/>
          <w:iCs/>
          <w:sz w:val="28"/>
          <w:szCs w:val="28"/>
          <w:lang w:val="el-GR"/>
        </w:rPr>
      </w:pPr>
      <w:r w:rsidRPr="005521CA">
        <w:rPr>
          <w:rFonts w:ascii="Bookman Old Style" w:hAnsi="Bookman Old Style" w:cs="Arial"/>
          <w:i/>
          <w:iCs/>
          <w:sz w:val="28"/>
          <w:szCs w:val="28"/>
          <w:lang w:val="el-GR"/>
        </w:rPr>
        <w:t>«</w:t>
      </w:r>
      <w:r w:rsidR="001A1387" w:rsidRPr="005521CA">
        <w:rPr>
          <w:rFonts w:ascii="Bookman Old Style" w:hAnsi="Bookman Old Style" w:cs="Arial"/>
          <w:i/>
          <w:iCs/>
          <w:sz w:val="28"/>
          <w:szCs w:val="28"/>
          <w:lang w:val="el-GR"/>
        </w:rPr>
        <w:t xml:space="preserve">Το Δικαστήριο κατά την έκδοση του Διατάγματος ικανοποιήθηκε πως εύλογη υποψία αποκαλύφθηκε ότι </w:t>
      </w:r>
      <w:r w:rsidR="001A1387" w:rsidRPr="005521CA">
        <w:rPr>
          <w:rFonts w:ascii="Bookman Old Style" w:hAnsi="Bookman Old Style"/>
          <w:i/>
          <w:iCs/>
          <w:sz w:val="28"/>
          <w:szCs w:val="28"/>
          <w:lang w:val="el-GR"/>
        </w:rPr>
        <w:t xml:space="preserve">η ιδιωτική επικοινωνία η οποία είναι </w:t>
      </w:r>
      <w:r w:rsidR="001A1387" w:rsidRPr="005521CA">
        <w:rPr>
          <w:rFonts w:ascii="Bookman Old Style" w:hAnsi="Bookman Old Style" w:cs="Arial"/>
          <w:i/>
          <w:iCs/>
          <w:sz w:val="28"/>
          <w:szCs w:val="28"/>
          <w:lang w:val="el-GR"/>
        </w:rPr>
        <w:t>καταγεγραμμένη συ</w:t>
      </w:r>
      <w:r w:rsidR="001A1387" w:rsidRPr="005521CA">
        <w:rPr>
          <w:rFonts w:ascii="Bookman Old Style" w:hAnsi="Bookman Old Style"/>
          <w:i/>
          <w:iCs/>
          <w:sz w:val="28"/>
          <w:szCs w:val="28"/>
          <w:lang w:val="el-GR"/>
        </w:rPr>
        <w:t>νδέεται με υπό δι</w:t>
      </w:r>
      <w:r w:rsidR="001A1387" w:rsidRPr="005521CA">
        <w:rPr>
          <w:rFonts w:ascii="Bookman Old Style" w:hAnsi="Bookman Old Style" w:cs="Arial"/>
          <w:i/>
          <w:iCs/>
          <w:sz w:val="28"/>
          <w:szCs w:val="28"/>
          <w:lang w:val="el-GR"/>
        </w:rPr>
        <w:t>ερ</w:t>
      </w:r>
      <w:r w:rsidR="001A1387" w:rsidRPr="005521CA">
        <w:rPr>
          <w:rFonts w:ascii="Bookman Old Style" w:hAnsi="Bookman Old Style"/>
          <w:i/>
          <w:iCs/>
          <w:sz w:val="28"/>
          <w:szCs w:val="28"/>
          <w:lang w:val="el-GR"/>
        </w:rPr>
        <w:t xml:space="preserve">εύνηση αδίκημα ως διαρθρώνεται με την </w:t>
      </w:r>
      <w:r w:rsidR="001A1387" w:rsidRPr="005521CA">
        <w:rPr>
          <w:rFonts w:ascii="Bookman Old Style" w:hAnsi="Bookman Old Style" w:cs="Arial"/>
          <w:i/>
          <w:iCs/>
          <w:sz w:val="28"/>
          <w:szCs w:val="28"/>
          <w:lang w:val="el-GR"/>
        </w:rPr>
        <w:t xml:space="preserve">αίτηση βάσει του Άρθρου 21. Εξ ου εξέδωσε το Διάταγμα, ημερ. 10/3/2023. Τα όσα υποστηρίζει ο ευπαίδευτος συνήγορος του κατηγορουμένου 2 ανάγονται κατά την εφαρμογή και </w:t>
      </w:r>
      <w:r w:rsidR="001A1387" w:rsidRPr="005521CA">
        <w:rPr>
          <w:rFonts w:ascii="Bookman Old Style" w:hAnsi="Bookman Old Style" w:cs="Arial"/>
          <w:i/>
          <w:iCs/>
          <w:sz w:val="28"/>
          <w:szCs w:val="28"/>
          <w:lang w:val="el-GR"/>
        </w:rPr>
        <w:lastRenderedPageBreak/>
        <w:t>εκτέλεση του Διατάγματος από τις αστυνομικές αρχές. Εν τη σοφία του ο Νομοθέτης προνόησε τις μεταγενέστερες ενέργειες και διαδικασίες σε περίπτωση που δυνατόν κατά την εκτέλεση του δικαστικού εντάλματος, ληφθεί περιεχόμενο ιδιωτικής επικοινωνία</w:t>
      </w:r>
      <w:r w:rsidR="0035239B" w:rsidRPr="005521CA">
        <w:rPr>
          <w:rFonts w:ascii="Bookman Old Style" w:hAnsi="Bookman Old Style" w:cs="Arial"/>
          <w:i/>
          <w:iCs/>
          <w:sz w:val="28"/>
          <w:szCs w:val="28"/>
          <w:lang w:val="el-GR"/>
        </w:rPr>
        <w:t>ς</w:t>
      </w:r>
      <w:r w:rsidR="001A1387" w:rsidRPr="005521CA">
        <w:rPr>
          <w:rFonts w:ascii="Bookman Old Style" w:hAnsi="Bookman Old Style" w:cs="Arial"/>
          <w:i/>
          <w:iCs/>
          <w:sz w:val="28"/>
          <w:szCs w:val="28"/>
          <w:lang w:val="el-GR"/>
        </w:rPr>
        <w:t xml:space="preserve"> που δεν σχετίζεται με αδίκημα το οποίο περιγράφεται στο δικαστικό ένταλμα (βλ. Άρθρο 24 του Ν. 92(1)/1996 ήτοι «λαμβάνεται ιδιωτική επικοινωνία, η οποία σχετίζεται με άλλο αδίκημα από αυτό που περιγράφεται στο δικαστικό ένταλμα», Άρθρο 25 του Ν.92(Ι)/1996 ήτοι «ότι το περιεχόμενο ιδιωτικής επικοινωνίας, το οποίο έχει ληφθεί βάσει δικαστικού εντάλματος, όπως καθορίζεται στα άρθρα 21, 22 και 23, δεν συνδέεται με τη διάπραξη του αδικήματος»), περίσταση η οποία καταδεικνύει πως το πνεύμα του Νόμου ήταν η αποτελεσματική χρήση των στοιχείων για σκοπούς αποτροπής, διερεύνησης ή δίωξης σοβαρών ποινικών αδικημάτων. </w:t>
      </w:r>
      <w:r w:rsidRPr="005521CA">
        <w:rPr>
          <w:rFonts w:ascii="Bookman Old Style" w:hAnsi="Bookman Old Style" w:cs="Arial"/>
          <w:i/>
          <w:iCs/>
          <w:sz w:val="28"/>
          <w:szCs w:val="28"/>
          <w:lang w:val="el-GR"/>
        </w:rPr>
        <w:t xml:space="preserve">Είναι η κρίση μας πως στην προκειμένη περίπτωση το ζήτημα, ήτοι η λήψη του υλικού αδιακρίτως και δίχως κάλυψη από το Διάταγμα, άπτεται της εφαρμογής και εκτέλεσης του Διατάγματος, ημερ. 10/3/2023, η οποία έγινε κατά παράβαση των όσων ο Νομοθέτης επίτασσε αφού εξασφαλίστηκε μαρτυρία κατά παράβαση των προνοιών του Ν. 92(Ι)/1996 και δη των Άρθρων 21, 22 και 23 που ενείχαν ως αντικείμενο την ιδιωτική επικοινωνία η οποία είναι συναφής με το αδίκημα για το οποίο αξιωνόταν το σχετικό διάταγμα. Το Μέρος </w:t>
      </w:r>
      <w:r w:rsidRPr="005521CA">
        <w:rPr>
          <w:rFonts w:ascii="Bookman Old Style" w:hAnsi="Bookman Old Style" w:cs="Arial"/>
          <w:i/>
          <w:iCs/>
          <w:sz w:val="28"/>
          <w:szCs w:val="28"/>
          <w:lang w:val="en-US"/>
        </w:rPr>
        <w:t>IVA</w:t>
      </w:r>
      <w:r w:rsidRPr="005521CA">
        <w:rPr>
          <w:rFonts w:ascii="Bookman Old Style" w:hAnsi="Bookman Old Style" w:cs="Arial"/>
          <w:i/>
          <w:iCs/>
          <w:sz w:val="28"/>
          <w:szCs w:val="28"/>
          <w:lang w:val="el-GR"/>
        </w:rPr>
        <w:t xml:space="preserve"> – Πρόσβαση σε Καταγεγραμμένο Περιεχόμενο Ιδιωτικής Επικοινωνίας του Ν.92(Ι)/1996, προβλέπει τις λεπτομέρειες κατά τις σχετικές πρόνοιες των Άρθρων 21, 22, 23, αναφορικά με τον τρόπο εφαρμογής της εξαίρεσης του Άρθρου 17 του Συντάγματος. Έτι περαιτέρω, συνυπολογίζεται πως το Διάταγμα, ημερ. 10/3/2023 τελεί εισέτι σε ισχύ, στη βάση του οποίου, εκ του Συντάγματος, η πρόσβαση στην ιδιωτική επικοινωνία καθίσταται επιτρεπτή.</w:t>
      </w:r>
    </w:p>
    <w:p w14:paraId="4A62DFC3" w14:textId="77777777" w:rsidR="00247D45" w:rsidRPr="005521CA" w:rsidRDefault="00247D45" w:rsidP="00247D45">
      <w:pPr>
        <w:spacing w:line="276" w:lineRule="auto"/>
        <w:ind w:left="426" w:right="390"/>
        <w:jc w:val="both"/>
        <w:rPr>
          <w:rFonts w:ascii="Bookman Old Style" w:hAnsi="Bookman Old Style" w:cs="Arial"/>
          <w:i/>
          <w:iCs/>
          <w:sz w:val="28"/>
          <w:szCs w:val="28"/>
          <w:lang w:val="el-GR"/>
        </w:rPr>
      </w:pPr>
    </w:p>
    <w:p w14:paraId="7D90BAB3" w14:textId="13AAE78E" w:rsidR="00247D45" w:rsidRPr="005521CA" w:rsidRDefault="00565972" w:rsidP="00247D45">
      <w:pPr>
        <w:spacing w:line="276" w:lineRule="auto"/>
        <w:ind w:left="426" w:right="390"/>
        <w:jc w:val="both"/>
        <w:rPr>
          <w:rFonts w:ascii="Bookman Old Style" w:hAnsi="Bookman Old Style" w:cs="Arial"/>
          <w:i/>
          <w:iCs/>
          <w:sz w:val="28"/>
          <w:szCs w:val="28"/>
          <w:lang w:val="el-GR"/>
        </w:rPr>
      </w:pPr>
      <w:r w:rsidRPr="005521CA">
        <w:rPr>
          <w:rFonts w:ascii="Bookman Old Style" w:hAnsi="Bookman Old Style" w:cs="Arial"/>
          <w:i/>
          <w:iCs/>
          <w:sz w:val="28"/>
          <w:szCs w:val="28"/>
          <w:lang w:val="el-GR"/>
        </w:rPr>
        <w:t xml:space="preserve">Επαναλαμβάνουμε τη νομολογιακή αρχή ότι, εάν ήθελε αποδειχθεί παράβαση Νόμου, σε αντίθεση με παραβίαση του Συντάγματος, δεν καθιστά αυτόματα τη σχετική μαρτυρία ως μη αποδεκτή αλλά διατηρείται διακριτική ευχέρεια από το Δικαστήριο να αρνηθεί να δεχθεί τέτοια μαρτυρία. Δυνατόν ωστόσο να επιτραπεί εάν είναι σχετική </w:t>
      </w:r>
      <w:r w:rsidRPr="005521CA">
        <w:rPr>
          <w:rFonts w:ascii="Bookman Old Style" w:hAnsi="Bookman Old Style" w:cs="Arial"/>
          <w:i/>
          <w:iCs/>
          <w:sz w:val="28"/>
          <w:szCs w:val="28"/>
          <w:lang w:val="el-GR"/>
        </w:rPr>
        <w:lastRenderedPageBreak/>
        <w:t xml:space="preserve">και τα δυσμενή επακόλουθα που θα προκύψουν από την εισαγωγή τέτοιας μαρτυρίας δεν θα επηρεάσουν το δικαίωμα του κατηγορουμένου για δίκαιη δίκη ή άλλο ανθρώπινο δικαίωμα. Παραπέμπουμε εκ νέου στην υπόθεση </w:t>
      </w:r>
      <w:r w:rsidRPr="005521CA">
        <w:rPr>
          <w:rFonts w:ascii="Bookman Old Style" w:hAnsi="Bookman Old Style" w:cs="Arial"/>
          <w:i/>
          <w:iCs/>
          <w:sz w:val="28"/>
          <w:szCs w:val="28"/>
          <w:lang w:val="en-US"/>
        </w:rPr>
        <w:t>Parris</w:t>
      </w:r>
      <w:r w:rsidRPr="005521CA">
        <w:rPr>
          <w:rFonts w:ascii="Bookman Old Style" w:hAnsi="Bookman Old Style" w:cs="Arial"/>
          <w:i/>
          <w:iCs/>
          <w:sz w:val="28"/>
          <w:szCs w:val="28"/>
          <w:lang w:val="el-GR"/>
        </w:rPr>
        <w:t xml:space="preserve"> </w:t>
      </w:r>
      <w:r w:rsidRPr="005521CA">
        <w:rPr>
          <w:rFonts w:ascii="Bookman Old Style" w:hAnsi="Bookman Old Style" w:cs="Arial"/>
          <w:i/>
          <w:iCs/>
          <w:sz w:val="28"/>
          <w:szCs w:val="28"/>
          <w:lang w:val="en-US"/>
        </w:rPr>
        <w:t>v</w:t>
      </w:r>
      <w:r w:rsidRPr="005521CA">
        <w:rPr>
          <w:rFonts w:ascii="Bookman Old Style" w:hAnsi="Bookman Old Style" w:cs="Arial"/>
          <w:i/>
          <w:iCs/>
          <w:sz w:val="28"/>
          <w:szCs w:val="28"/>
          <w:lang w:val="el-GR"/>
        </w:rPr>
        <w:t>. Δημοκρατίας (ανωτέρω) κατά την οποία εξασφάλιση μαρτυρίας κατά παράβαση νομοθεσίας «δεν αποτελεί παράγοντα ο οποίος θα οδηγούσε σε δυσμενή επηρεασμό του εφεσείοντα που υπερισχύει της αποδεικτικής του αξίας». Όσο πιο μεγάλη είναι η αποδεικτική αξία μίας μαρτυρίας τόσο πιο δύσκολος καθίσταται ο αποκλεισμός της.</w:t>
      </w:r>
    </w:p>
    <w:p w14:paraId="7AF327FF" w14:textId="77777777" w:rsidR="00565972" w:rsidRPr="005521CA" w:rsidRDefault="00565972" w:rsidP="00247D45">
      <w:pPr>
        <w:spacing w:line="276" w:lineRule="auto"/>
        <w:ind w:left="426" w:right="390"/>
        <w:jc w:val="both"/>
        <w:rPr>
          <w:rFonts w:ascii="Bookman Old Style" w:hAnsi="Bookman Old Style" w:cs="Arial"/>
          <w:i/>
          <w:iCs/>
          <w:sz w:val="28"/>
          <w:szCs w:val="28"/>
          <w:lang w:val="el-GR"/>
        </w:rPr>
      </w:pPr>
    </w:p>
    <w:p w14:paraId="399AA838" w14:textId="15372BB6" w:rsidR="00565972" w:rsidRPr="005521CA" w:rsidRDefault="00565972" w:rsidP="00247D45">
      <w:pPr>
        <w:spacing w:line="276" w:lineRule="auto"/>
        <w:ind w:left="426" w:right="390"/>
        <w:jc w:val="both"/>
        <w:rPr>
          <w:rFonts w:ascii="Bookman Old Style" w:hAnsi="Bookman Old Style" w:cs="Arial"/>
          <w:i/>
          <w:iCs/>
          <w:sz w:val="28"/>
          <w:szCs w:val="28"/>
          <w:lang w:val="el-GR"/>
        </w:rPr>
      </w:pPr>
      <w:r w:rsidRPr="005521CA">
        <w:rPr>
          <w:rFonts w:ascii="Bookman Old Style" w:hAnsi="Bookman Old Style" w:cs="Arial"/>
          <w:i/>
          <w:iCs/>
          <w:sz w:val="28"/>
          <w:szCs w:val="28"/>
          <w:lang w:val="el-GR"/>
        </w:rPr>
        <w:t>Συνεπώς, η ένσταση δεν μπορεί να επιτύχει και απορρίπτεται. Παρεπόμενα, η κατάθεση του σκληρού δίσκου, Τεκμήριο 21 στη Δίκη εντός Δίκης, επιτρέπεται.»</w:t>
      </w:r>
      <w:r w:rsidR="001A1387" w:rsidRPr="005521CA">
        <w:rPr>
          <w:rStyle w:val="FootnoteReference"/>
          <w:rFonts w:ascii="Bookman Old Style" w:hAnsi="Bookman Old Style" w:cs="Arial"/>
          <w:i/>
          <w:iCs/>
          <w:sz w:val="28"/>
          <w:szCs w:val="28"/>
          <w:lang w:val="el-GR"/>
        </w:rPr>
        <w:footnoteReference w:id="1"/>
      </w:r>
    </w:p>
    <w:p w14:paraId="5E1A28C7" w14:textId="77777777" w:rsidR="00565972" w:rsidRPr="005521CA" w:rsidRDefault="00565972" w:rsidP="00247D45">
      <w:pPr>
        <w:spacing w:line="276" w:lineRule="auto"/>
        <w:ind w:left="426" w:right="390"/>
        <w:jc w:val="both"/>
        <w:rPr>
          <w:rFonts w:ascii="Bookman Old Style" w:hAnsi="Bookman Old Style" w:cs="Arial"/>
          <w:i/>
          <w:iCs/>
          <w:sz w:val="28"/>
          <w:szCs w:val="28"/>
          <w:lang w:val="el-GR"/>
        </w:rPr>
      </w:pPr>
    </w:p>
    <w:p w14:paraId="6AF133C6" w14:textId="77777777" w:rsidR="00091204" w:rsidRPr="005521CA" w:rsidRDefault="00091204" w:rsidP="00247D45">
      <w:pPr>
        <w:spacing w:line="480" w:lineRule="auto"/>
        <w:ind w:right="390"/>
        <w:jc w:val="both"/>
        <w:rPr>
          <w:rFonts w:ascii="Bookman Old Style" w:hAnsi="Bookman Old Style" w:cs="Arial"/>
          <w:i/>
          <w:iCs/>
          <w:sz w:val="28"/>
          <w:szCs w:val="28"/>
          <w:lang w:val="el-GR"/>
        </w:rPr>
      </w:pPr>
    </w:p>
    <w:p w14:paraId="7552569C" w14:textId="345EE93F" w:rsidR="00091204" w:rsidRDefault="00091204" w:rsidP="0000790C">
      <w:pPr>
        <w:spacing w:line="480" w:lineRule="auto"/>
        <w:ind w:right="-35"/>
        <w:jc w:val="both"/>
        <w:rPr>
          <w:rFonts w:ascii="Bookman Old Style" w:hAnsi="Bookman Old Style" w:cs="Arial"/>
          <w:sz w:val="28"/>
          <w:szCs w:val="28"/>
          <w:lang w:val="el-GR"/>
        </w:rPr>
      </w:pPr>
      <w:r>
        <w:rPr>
          <w:rFonts w:ascii="Bookman Old Style" w:hAnsi="Bookman Old Style" w:cs="Arial"/>
          <w:sz w:val="28"/>
          <w:szCs w:val="28"/>
          <w:lang w:val="el-GR"/>
        </w:rPr>
        <w:t xml:space="preserve">Με την παρούσα Αίτηση ο Αιτητής ζητά να του δοθεί άδεια για καταχώριση αίτησης με κλήση για την έκδοση Προνομιακού Εντάλματος </w:t>
      </w:r>
      <w:r>
        <w:rPr>
          <w:rFonts w:ascii="Bookman Old Style" w:hAnsi="Bookman Old Style" w:cs="Arial"/>
          <w:i/>
          <w:iCs/>
          <w:sz w:val="28"/>
          <w:szCs w:val="28"/>
          <w:lang w:val="en-US"/>
        </w:rPr>
        <w:t>Certiorari</w:t>
      </w:r>
      <w:r>
        <w:rPr>
          <w:rFonts w:ascii="Bookman Old Style" w:hAnsi="Bookman Old Style" w:cs="Arial"/>
          <w:sz w:val="28"/>
          <w:szCs w:val="28"/>
          <w:lang w:val="el-GR"/>
        </w:rPr>
        <w:t xml:space="preserve"> </w:t>
      </w:r>
      <w:r w:rsidR="00162B88">
        <w:rPr>
          <w:rFonts w:ascii="Bookman Old Style" w:hAnsi="Bookman Old Style" w:cs="Arial"/>
          <w:sz w:val="28"/>
          <w:szCs w:val="28"/>
          <w:lang w:val="el-GR"/>
        </w:rPr>
        <w:t xml:space="preserve">              </w:t>
      </w:r>
      <w:r>
        <w:rPr>
          <w:rFonts w:ascii="Bookman Old Style" w:hAnsi="Bookman Old Style" w:cs="Arial"/>
          <w:sz w:val="28"/>
          <w:szCs w:val="28"/>
          <w:lang w:val="el-GR"/>
        </w:rPr>
        <w:lastRenderedPageBreak/>
        <w:t>για ακύρωση του μέρους της προσβαλλόμενης Απόφασης του Κακουργιοδικείου, που εκδόθηκε στο πλαίσιο δίκης εντός δίκης, με βάση την οποία έκαμε αποδεχτή την κατάθεση του αντικειμένου με Α/Α 88 επί του Τεκμηρίου Β29 και συγκεκριμένα σε σχέση με τον αναφερόμενο στην πιο πάνω αρίθμηση σκληρό δίσκο</w:t>
      </w:r>
      <w:r w:rsidR="00162B88">
        <w:rPr>
          <w:rFonts w:ascii="Bookman Old Style" w:hAnsi="Bookman Old Style" w:cs="Arial"/>
          <w:sz w:val="28"/>
          <w:szCs w:val="28"/>
          <w:lang w:val="el-GR"/>
        </w:rPr>
        <w:t xml:space="preserve"> (</w:t>
      </w:r>
      <w:r w:rsidR="00162B88" w:rsidRPr="00C84479">
        <w:rPr>
          <w:rFonts w:ascii="Bookman Old Style" w:hAnsi="Bookman Old Style" w:cs="Arial"/>
          <w:b/>
          <w:bCs/>
          <w:sz w:val="28"/>
          <w:szCs w:val="28"/>
          <w:lang w:val="el-GR"/>
        </w:rPr>
        <w:t>Τεκμήριο 21</w:t>
      </w:r>
      <w:r w:rsidR="00162B88">
        <w:rPr>
          <w:rFonts w:ascii="Bookman Old Style" w:hAnsi="Bookman Old Style" w:cs="Arial"/>
          <w:sz w:val="28"/>
          <w:szCs w:val="28"/>
          <w:lang w:val="el-GR"/>
        </w:rPr>
        <w:t xml:space="preserve"> στη </w:t>
      </w:r>
      <w:r w:rsidR="00431E73">
        <w:rPr>
          <w:rFonts w:ascii="Bookman Old Style" w:hAnsi="Bookman Old Style" w:cs="Arial"/>
          <w:sz w:val="28"/>
          <w:szCs w:val="28"/>
          <w:lang w:val="el-GR"/>
        </w:rPr>
        <w:t>Δ</w:t>
      </w:r>
      <w:r w:rsidR="00162B88">
        <w:rPr>
          <w:rFonts w:ascii="Bookman Old Style" w:hAnsi="Bookman Old Style" w:cs="Arial"/>
          <w:sz w:val="28"/>
          <w:szCs w:val="28"/>
          <w:lang w:val="el-GR"/>
        </w:rPr>
        <w:t xml:space="preserve">ίκη εντός </w:t>
      </w:r>
      <w:r w:rsidR="00431E73">
        <w:rPr>
          <w:rFonts w:ascii="Bookman Old Style" w:hAnsi="Bookman Old Style" w:cs="Arial"/>
          <w:sz w:val="28"/>
          <w:szCs w:val="28"/>
          <w:lang w:val="el-GR"/>
        </w:rPr>
        <w:t>Δ</w:t>
      </w:r>
      <w:r w:rsidR="00162B88">
        <w:rPr>
          <w:rFonts w:ascii="Bookman Old Style" w:hAnsi="Bookman Old Style" w:cs="Arial"/>
          <w:sz w:val="28"/>
          <w:szCs w:val="28"/>
          <w:lang w:val="el-GR"/>
        </w:rPr>
        <w:t>ίκης).</w:t>
      </w:r>
      <w:r>
        <w:rPr>
          <w:rFonts w:ascii="Bookman Old Style" w:hAnsi="Bookman Old Style" w:cs="Arial"/>
          <w:sz w:val="28"/>
          <w:szCs w:val="28"/>
          <w:lang w:val="el-GR"/>
        </w:rPr>
        <w:t xml:space="preserve"> </w:t>
      </w:r>
    </w:p>
    <w:p w14:paraId="3F679355" w14:textId="77777777" w:rsidR="00284861" w:rsidRDefault="00284861" w:rsidP="0000790C">
      <w:pPr>
        <w:spacing w:line="480" w:lineRule="auto"/>
        <w:ind w:right="-35"/>
        <w:jc w:val="both"/>
        <w:rPr>
          <w:rFonts w:ascii="Bookman Old Style" w:hAnsi="Bookman Old Style" w:cs="Arial"/>
          <w:sz w:val="28"/>
          <w:szCs w:val="28"/>
          <w:lang w:val="el-GR"/>
        </w:rPr>
      </w:pPr>
    </w:p>
    <w:p w14:paraId="67E77F40" w14:textId="5136FB04" w:rsidR="00091204" w:rsidRDefault="00284861" w:rsidP="0000790C">
      <w:pPr>
        <w:spacing w:line="480" w:lineRule="auto"/>
        <w:ind w:right="-35"/>
        <w:jc w:val="both"/>
        <w:rPr>
          <w:rFonts w:ascii="Bookman Old Style" w:hAnsi="Bookman Old Style" w:cs="Arial"/>
          <w:sz w:val="28"/>
          <w:szCs w:val="28"/>
          <w:lang w:val="el-GR"/>
        </w:rPr>
      </w:pPr>
      <w:r>
        <w:rPr>
          <w:rFonts w:ascii="Bookman Old Style" w:hAnsi="Bookman Old Style" w:cs="Arial"/>
          <w:sz w:val="28"/>
          <w:szCs w:val="28"/>
          <w:lang w:val="el-GR"/>
        </w:rPr>
        <w:t>Επιπλέον, ο Αιτητής επιζητεί την έκδοση διατάγματος με το οποίο να αναστέλλεται η διαδικασία που εκκρεμεί ενώπιον του Κακουργιοδικείο</w:t>
      </w:r>
      <w:r w:rsidR="0035239B">
        <w:rPr>
          <w:rFonts w:ascii="Bookman Old Style" w:hAnsi="Bookman Old Style" w:cs="Arial"/>
          <w:sz w:val="28"/>
          <w:szCs w:val="28"/>
          <w:lang w:val="el-GR"/>
        </w:rPr>
        <w:t>υ</w:t>
      </w:r>
      <w:r>
        <w:rPr>
          <w:rFonts w:ascii="Bookman Old Style" w:hAnsi="Bookman Old Style" w:cs="Arial"/>
          <w:sz w:val="28"/>
          <w:szCs w:val="28"/>
          <w:lang w:val="el-GR"/>
        </w:rPr>
        <w:t xml:space="preserve"> Πάφου αναφορικά με την πιο πάνω Ποινική Υπόθεση, μέχρι της πλήρους αποπερατώσεως της παρούσας Αιτήσεως. </w:t>
      </w:r>
    </w:p>
    <w:p w14:paraId="25F65DF4" w14:textId="77777777" w:rsidR="00284861" w:rsidRDefault="00284861" w:rsidP="0000790C">
      <w:pPr>
        <w:spacing w:line="480" w:lineRule="auto"/>
        <w:ind w:right="-35"/>
        <w:jc w:val="both"/>
        <w:rPr>
          <w:rFonts w:ascii="Bookman Old Style" w:hAnsi="Bookman Old Style" w:cs="Arial"/>
          <w:sz w:val="28"/>
          <w:szCs w:val="28"/>
          <w:lang w:val="el-GR"/>
        </w:rPr>
      </w:pPr>
    </w:p>
    <w:p w14:paraId="60D381CF" w14:textId="4AFC82D1" w:rsidR="00284861" w:rsidRDefault="00284861" w:rsidP="0000790C">
      <w:pPr>
        <w:spacing w:line="480" w:lineRule="auto"/>
        <w:ind w:right="-35"/>
        <w:jc w:val="both"/>
        <w:rPr>
          <w:rFonts w:ascii="Bookman Old Style" w:hAnsi="Bookman Old Style" w:cs="Arial"/>
          <w:sz w:val="28"/>
          <w:szCs w:val="28"/>
          <w:lang w:val="el-GR"/>
        </w:rPr>
      </w:pPr>
      <w:r>
        <w:rPr>
          <w:rFonts w:ascii="Bookman Old Style" w:hAnsi="Bookman Old Style" w:cs="Arial"/>
          <w:sz w:val="28"/>
          <w:szCs w:val="28"/>
          <w:lang w:val="el-GR"/>
        </w:rPr>
        <w:t xml:space="preserve">Η Αίτηση συνοδεύεται από Έκθεση και από Ένορκη Δήλωση της Ιωάννας Καντωνίδου, δικηγόρου στο δικηγορικό γραφείο Χρίστος Μ. Τριανταφυλλίδης ΔΕΠΕ, που είναι οι δικηγόροι του Αιτητή. </w:t>
      </w:r>
    </w:p>
    <w:p w14:paraId="510DB64F" w14:textId="77777777" w:rsidR="00284861" w:rsidRDefault="00284861" w:rsidP="0000790C">
      <w:pPr>
        <w:spacing w:line="480" w:lineRule="auto"/>
        <w:ind w:right="-35"/>
        <w:jc w:val="both"/>
        <w:rPr>
          <w:rFonts w:ascii="Bookman Old Style" w:hAnsi="Bookman Old Style" w:cs="Arial"/>
          <w:sz w:val="28"/>
          <w:szCs w:val="28"/>
          <w:lang w:val="el-GR"/>
        </w:rPr>
      </w:pPr>
    </w:p>
    <w:p w14:paraId="2A21D865" w14:textId="254D1A26" w:rsidR="00284861" w:rsidRDefault="00284861" w:rsidP="0000790C">
      <w:pPr>
        <w:spacing w:line="480" w:lineRule="auto"/>
        <w:ind w:right="-35"/>
        <w:jc w:val="both"/>
        <w:rPr>
          <w:rFonts w:ascii="Bookman Old Style" w:hAnsi="Bookman Old Style" w:cs="Arial"/>
          <w:sz w:val="28"/>
          <w:szCs w:val="28"/>
          <w:lang w:val="el-GR"/>
        </w:rPr>
      </w:pPr>
      <w:r>
        <w:rPr>
          <w:rFonts w:ascii="Bookman Old Style" w:hAnsi="Bookman Old Style" w:cs="Arial"/>
          <w:sz w:val="28"/>
          <w:szCs w:val="28"/>
          <w:lang w:val="el-GR"/>
        </w:rPr>
        <w:t>Ως λόγοι επί των οποίων βασίζεται το αίτημα για θεραπεία είναι οι ακόλουθοι:</w:t>
      </w:r>
    </w:p>
    <w:p w14:paraId="4C1761EF" w14:textId="77777777" w:rsidR="00284861" w:rsidRDefault="00284861" w:rsidP="0000790C">
      <w:pPr>
        <w:spacing w:line="480" w:lineRule="auto"/>
        <w:ind w:right="-35"/>
        <w:jc w:val="both"/>
        <w:rPr>
          <w:rFonts w:ascii="Bookman Old Style" w:hAnsi="Bookman Old Style" w:cs="Arial"/>
          <w:sz w:val="28"/>
          <w:szCs w:val="28"/>
          <w:lang w:val="el-GR"/>
        </w:rPr>
      </w:pPr>
    </w:p>
    <w:p w14:paraId="1555D2F1" w14:textId="61DC2983" w:rsidR="00284861" w:rsidRDefault="00284861" w:rsidP="0019677F">
      <w:pPr>
        <w:spacing w:line="480" w:lineRule="auto"/>
        <w:ind w:right="-34"/>
        <w:jc w:val="both"/>
        <w:rPr>
          <w:rFonts w:ascii="Bookman Old Style" w:hAnsi="Bookman Old Style" w:cs="Arial"/>
          <w:sz w:val="28"/>
          <w:szCs w:val="28"/>
          <w:lang w:val="el-GR"/>
        </w:rPr>
      </w:pPr>
      <w:r>
        <w:rPr>
          <w:rFonts w:ascii="Bookman Old Style" w:hAnsi="Bookman Old Style" w:cs="Arial"/>
          <w:sz w:val="28"/>
          <w:szCs w:val="28"/>
          <w:lang w:val="el-GR"/>
        </w:rPr>
        <w:t>(α) Υπάρχει έκδηλο νομικό σφάλμα επί του πρακτικού και/ή του κειμένου της προσβαλλόμενης Απόφασης (</w:t>
      </w:r>
      <w:r w:rsidRPr="00C84479">
        <w:rPr>
          <w:rFonts w:ascii="Bookman Old Style" w:hAnsi="Bookman Old Style" w:cs="Arial"/>
          <w:i/>
          <w:iCs/>
          <w:sz w:val="28"/>
          <w:szCs w:val="28"/>
          <w:lang w:val="en-US"/>
        </w:rPr>
        <w:t>error</w:t>
      </w:r>
      <w:r w:rsidRPr="00C84479">
        <w:rPr>
          <w:rFonts w:ascii="Bookman Old Style" w:hAnsi="Bookman Old Style" w:cs="Arial"/>
          <w:i/>
          <w:iCs/>
          <w:sz w:val="28"/>
          <w:szCs w:val="28"/>
          <w:lang w:val="el-GR"/>
        </w:rPr>
        <w:t xml:space="preserve"> </w:t>
      </w:r>
      <w:r w:rsidRPr="00C84479">
        <w:rPr>
          <w:rFonts w:ascii="Bookman Old Style" w:hAnsi="Bookman Old Style" w:cs="Arial"/>
          <w:i/>
          <w:iCs/>
          <w:sz w:val="28"/>
          <w:szCs w:val="28"/>
          <w:lang w:val="en-US"/>
        </w:rPr>
        <w:t>of</w:t>
      </w:r>
      <w:r w:rsidRPr="00C84479">
        <w:rPr>
          <w:rFonts w:ascii="Bookman Old Style" w:hAnsi="Bookman Old Style" w:cs="Arial"/>
          <w:i/>
          <w:iCs/>
          <w:sz w:val="28"/>
          <w:szCs w:val="28"/>
          <w:lang w:val="el-GR"/>
        </w:rPr>
        <w:t xml:space="preserve"> </w:t>
      </w:r>
      <w:r w:rsidRPr="00C84479">
        <w:rPr>
          <w:rFonts w:ascii="Bookman Old Style" w:hAnsi="Bookman Old Style" w:cs="Arial"/>
          <w:i/>
          <w:iCs/>
          <w:sz w:val="28"/>
          <w:szCs w:val="28"/>
          <w:lang w:val="en-US"/>
        </w:rPr>
        <w:t>law</w:t>
      </w:r>
      <w:r w:rsidRPr="00C84479">
        <w:rPr>
          <w:rFonts w:ascii="Bookman Old Style" w:hAnsi="Bookman Old Style" w:cs="Arial"/>
          <w:i/>
          <w:iCs/>
          <w:sz w:val="28"/>
          <w:szCs w:val="28"/>
          <w:lang w:val="el-GR"/>
        </w:rPr>
        <w:t xml:space="preserve"> </w:t>
      </w:r>
      <w:r w:rsidRPr="00C84479">
        <w:rPr>
          <w:rFonts w:ascii="Bookman Old Style" w:hAnsi="Bookman Old Style" w:cs="Arial"/>
          <w:i/>
          <w:iCs/>
          <w:sz w:val="28"/>
          <w:szCs w:val="28"/>
          <w:lang w:val="en-US"/>
        </w:rPr>
        <w:t>on</w:t>
      </w:r>
      <w:r w:rsidRPr="00C84479">
        <w:rPr>
          <w:rFonts w:ascii="Bookman Old Style" w:hAnsi="Bookman Old Style" w:cs="Arial"/>
          <w:i/>
          <w:iCs/>
          <w:sz w:val="28"/>
          <w:szCs w:val="28"/>
          <w:lang w:val="el-GR"/>
        </w:rPr>
        <w:t xml:space="preserve"> </w:t>
      </w:r>
      <w:r w:rsidRPr="00C84479">
        <w:rPr>
          <w:rFonts w:ascii="Bookman Old Style" w:hAnsi="Bookman Old Style" w:cs="Arial"/>
          <w:i/>
          <w:iCs/>
          <w:sz w:val="28"/>
          <w:szCs w:val="28"/>
          <w:lang w:val="en-US"/>
        </w:rPr>
        <w:t>the</w:t>
      </w:r>
      <w:r w:rsidRPr="00C84479">
        <w:rPr>
          <w:rFonts w:ascii="Bookman Old Style" w:hAnsi="Bookman Old Style" w:cs="Arial"/>
          <w:i/>
          <w:iCs/>
          <w:sz w:val="28"/>
          <w:szCs w:val="28"/>
          <w:lang w:val="el-GR"/>
        </w:rPr>
        <w:t xml:space="preserve"> </w:t>
      </w:r>
      <w:r w:rsidRPr="00C84479">
        <w:rPr>
          <w:rFonts w:ascii="Bookman Old Style" w:hAnsi="Bookman Old Style" w:cs="Arial"/>
          <w:i/>
          <w:iCs/>
          <w:sz w:val="28"/>
          <w:szCs w:val="28"/>
          <w:lang w:val="en-US"/>
        </w:rPr>
        <w:t>face</w:t>
      </w:r>
      <w:r w:rsidRPr="00C84479">
        <w:rPr>
          <w:rFonts w:ascii="Bookman Old Style" w:hAnsi="Bookman Old Style" w:cs="Arial"/>
          <w:i/>
          <w:iCs/>
          <w:sz w:val="28"/>
          <w:szCs w:val="28"/>
          <w:lang w:val="el-GR"/>
        </w:rPr>
        <w:t xml:space="preserve"> </w:t>
      </w:r>
      <w:r w:rsidRPr="00C84479">
        <w:rPr>
          <w:rFonts w:ascii="Bookman Old Style" w:hAnsi="Bookman Old Style" w:cs="Arial"/>
          <w:i/>
          <w:iCs/>
          <w:sz w:val="28"/>
          <w:szCs w:val="28"/>
          <w:lang w:val="en-US"/>
        </w:rPr>
        <w:t>of</w:t>
      </w:r>
      <w:r w:rsidRPr="00C84479">
        <w:rPr>
          <w:rFonts w:ascii="Bookman Old Style" w:hAnsi="Bookman Old Style" w:cs="Arial"/>
          <w:i/>
          <w:iCs/>
          <w:sz w:val="28"/>
          <w:szCs w:val="28"/>
          <w:lang w:val="el-GR"/>
        </w:rPr>
        <w:t xml:space="preserve"> </w:t>
      </w:r>
      <w:r w:rsidRPr="00C84479">
        <w:rPr>
          <w:rFonts w:ascii="Bookman Old Style" w:hAnsi="Bookman Old Style" w:cs="Arial"/>
          <w:i/>
          <w:iCs/>
          <w:sz w:val="28"/>
          <w:szCs w:val="28"/>
          <w:lang w:val="en-US"/>
        </w:rPr>
        <w:t>the</w:t>
      </w:r>
      <w:r w:rsidRPr="00C84479">
        <w:rPr>
          <w:rFonts w:ascii="Bookman Old Style" w:hAnsi="Bookman Old Style" w:cs="Arial"/>
          <w:i/>
          <w:iCs/>
          <w:sz w:val="28"/>
          <w:szCs w:val="28"/>
          <w:lang w:val="el-GR"/>
        </w:rPr>
        <w:t xml:space="preserve"> </w:t>
      </w:r>
      <w:r w:rsidRPr="00C84479">
        <w:rPr>
          <w:rFonts w:ascii="Bookman Old Style" w:hAnsi="Bookman Old Style" w:cs="Arial"/>
          <w:i/>
          <w:iCs/>
          <w:sz w:val="28"/>
          <w:szCs w:val="28"/>
          <w:lang w:val="en-US"/>
        </w:rPr>
        <w:t>record</w:t>
      </w:r>
      <w:r>
        <w:rPr>
          <w:rFonts w:ascii="Bookman Old Style" w:hAnsi="Bookman Old Style" w:cs="Arial"/>
          <w:sz w:val="28"/>
          <w:szCs w:val="28"/>
          <w:lang w:val="el-GR"/>
        </w:rPr>
        <w:t>).</w:t>
      </w:r>
    </w:p>
    <w:p w14:paraId="09B77A41" w14:textId="77777777" w:rsidR="00284861" w:rsidRDefault="00284861" w:rsidP="0019677F">
      <w:pPr>
        <w:spacing w:line="480" w:lineRule="auto"/>
        <w:ind w:right="-34"/>
        <w:jc w:val="both"/>
        <w:rPr>
          <w:rFonts w:ascii="Bookman Old Style" w:hAnsi="Bookman Old Style" w:cs="Arial"/>
          <w:sz w:val="28"/>
          <w:szCs w:val="28"/>
          <w:lang w:val="el-GR"/>
        </w:rPr>
      </w:pPr>
    </w:p>
    <w:p w14:paraId="60431DE8" w14:textId="27760BA1" w:rsidR="00284861" w:rsidRDefault="00284861" w:rsidP="0019677F">
      <w:pPr>
        <w:spacing w:line="480" w:lineRule="auto"/>
        <w:ind w:right="-34"/>
        <w:jc w:val="both"/>
        <w:rPr>
          <w:rFonts w:ascii="Bookman Old Style" w:hAnsi="Bookman Old Style" w:cs="Arial"/>
          <w:sz w:val="28"/>
          <w:szCs w:val="28"/>
          <w:lang w:val="el-GR"/>
        </w:rPr>
      </w:pPr>
      <w:r>
        <w:rPr>
          <w:rFonts w:ascii="Bookman Old Style" w:hAnsi="Bookman Old Style" w:cs="Arial"/>
          <w:sz w:val="28"/>
          <w:szCs w:val="28"/>
          <w:lang w:val="el-GR"/>
        </w:rPr>
        <w:lastRenderedPageBreak/>
        <w:t xml:space="preserve">(β) Το λάθος συνίσταται στο ότι παρόλο που το Κακουργιοδικείο τοποθετήθηκε ορθά αναφορικά με τις νομικές αρχές που διέπουν το ζήτημα αποδοχής μαρτυρίας που λαμβάνεται κατά παράβαση του Συντάγματος και του Νόμου, </w:t>
      </w:r>
      <w:r w:rsidR="00F47711">
        <w:rPr>
          <w:rFonts w:ascii="Bookman Old Style" w:hAnsi="Bookman Old Style" w:cs="Arial"/>
          <w:sz w:val="28"/>
          <w:szCs w:val="28"/>
          <w:lang w:val="el-GR"/>
        </w:rPr>
        <w:t>εντούτοις καταλήγει σε νομικά λανθασμένο συμπέρασμα κατ’ ακολουθίαν νομικά λανθασμένου συλλογισμού.</w:t>
      </w:r>
    </w:p>
    <w:p w14:paraId="469DD4CC" w14:textId="77777777" w:rsidR="00F47711" w:rsidRDefault="00F47711" w:rsidP="0019677F">
      <w:pPr>
        <w:spacing w:line="480" w:lineRule="auto"/>
        <w:ind w:right="-34"/>
        <w:jc w:val="both"/>
        <w:rPr>
          <w:rFonts w:ascii="Bookman Old Style" w:hAnsi="Bookman Old Style" w:cs="Arial"/>
          <w:sz w:val="28"/>
          <w:szCs w:val="28"/>
          <w:lang w:val="el-GR"/>
        </w:rPr>
      </w:pPr>
    </w:p>
    <w:p w14:paraId="1051030E" w14:textId="3BA2F9E0" w:rsidR="00F47711" w:rsidRDefault="00F47711" w:rsidP="0019677F">
      <w:pPr>
        <w:spacing w:line="480" w:lineRule="auto"/>
        <w:ind w:right="-34"/>
        <w:jc w:val="both"/>
        <w:rPr>
          <w:rFonts w:ascii="Bookman Old Style" w:hAnsi="Bookman Old Style" w:cs="Arial"/>
          <w:sz w:val="28"/>
          <w:szCs w:val="28"/>
          <w:lang w:val="el-GR"/>
        </w:rPr>
      </w:pPr>
      <w:r>
        <w:rPr>
          <w:rFonts w:ascii="Bookman Old Style" w:hAnsi="Bookman Old Style" w:cs="Arial"/>
          <w:sz w:val="28"/>
          <w:szCs w:val="28"/>
          <w:lang w:val="el-GR"/>
        </w:rPr>
        <w:t>(γ) Συγκεκριμένα, ενώ στη σελ. 32 της προσβαλλόμενης Απόφασης το Δικαστήριο καταλήγει ότι «</w:t>
      </w:r>
      <w:r>
        <w:rPr>
          <w:rFonts w:ascii="Bookman Old Style" w:hAnsi="Bookman Old Style" w:cs="Arial"/>
          <w:i/>
          <w:iCs/>
          <w:sz w:val="28"/>
          <w:szCs w:val="28"/>
          <w:lang w:val="el-GR"/>
        </w:rPr>
        <w:t>στην προκειμένη περίπτωση το ζήτημα, ήτοι η λήψη του υλικού αδιακρίτως και δίχως κάλυψη από το Διάταγμα, άπτεται της εφαρμογής και εκτέλεσης του Διατάγματος ημερ. 10/3/2023, η οποία έγινε κατά παράβαση των όσων ο Νομοθέτης επίτασσε αφού εξασφαλίστηκε μαρτυρία κατά παράβαση των προνοιών του Νόμου 92(Ι)/1996 και δη των άρθρων 21, 22 και 23 που ενείχαν ως αντικείμενο ιδιωτική επικοινωνία η οποία είναι συναφής με το αδίκημα για το οποίο αξιωνόταν το σχετικό Διάταγμα …</w:t>
      </w:r>
      <w:r>
        <w:rPr>
          <w:rFonts w:ascii="Bookman Old Style" w:hAnsi="Bookman Old Style" w:cs="Arial"/>
          <w:sz w:val="28"/>
          <w:szCs w:val="28"/>
          <w:lang w:val="el-GR"/>
        </w:rPr>
        <w:t>» συνεχίζει και απορρίπτει την υποβληθείσα</w:t>
      </w:r>
      <w:r w:rsidR="008A0B29">
        <w:rPr>
          <w:rFonts w:ascii="Bookman Old Style" w:hAnsi="Bookman Old Style" w:cs="Arial"/>
          <w:sz w:val="28"/>
          <w:szCs w:val="28"/>
          <w:lang w:val="el-GR"/>
        </w:rPr>
        <w:t xml:space="preserve"> </w:t>
      </w:r>
      <w:r>
        <w:rPr>
          <w:rFonts w:ascii="Bookman Old Style" w:hAnsi="Bookman Old Style" w:cs="Arial"/>
          <w:sz w:val="28"/>
          <w:szCs w:val="28"/>
          <w:lang w:val="el-GR"/>
        </w:rPr>
        <w:t>υπό του Κατηγορουμένου 2 ένσταση με βάση τη νομολογιακή αρχή ότι «</w:t>
      </w:r>
      <w:r>
        <w:rPr>
          <w:rFonts w:ascii="Bookman Old Style" w:hAnsi="Bookman Old Style" w:cs="Arial"/>
          <w:i/>
          <w:iCs/>
          <w:sz w:val="28"/>
          <w:szCs w:val="28"/>
          <w:lang w:val="el-GR"/>
        </w:rPr>
        <w:t xml:space="preserve">… και αν ήθελε αποδειχθεί παράβαση Νόμου σε αντίθεση με παραβίαση του Συντάγματος, δεν καθιστά αυτόματα τη σχετική μαρτυρία ως μη αποδεχτή αλλά διατηρεί τη διακριτική ευχέρεια από το Δικαστήριο να αρνηθεί να δεχθεί τέτοια μαρτυρία. Δυνατόν ωστόσο να επιτραπεί αν είναι σχετική και τα δυσμενή επακόλουθα που θα προκύψουν από την εισαγωγή τέτοιας </w:t>
      </w:r>
      <w:r>
        <w:rPr>
          <w:rFonts w:ascii="Bookman Old Style" w:hAnsi="Bookman Old Style" w:cs="Arial"/>
          <w:i/>
          <w:iCs/>
          <w:sz w:val="28"/>
          <w:szCs w:val="28"/>
          <w:lang w:val="el-GR"/>
        </w:rPr>
        <w:lastRenderedPageBreak/>
        <w:t>μαρτυρίας δεν θα επηρεάσουν το δικαίωμα του κατηγορούμενου για δίκαιη δίκη ή άλλο ανθρώπινο δικαίωμα ...</w:t>
      </w:r>
      <w:r>
        <w:rPr>
          <w:rFonts w:ascii="Bookman Old Style" w:hAnsi="Bookman Old Style" w:cs="Arial"/>
          <w:sz w:val="28"/>
          <w:szCs w:val="28"/>
          <w:lang w:val="el-GR"/>
        </w:rPr>
        <w:t>». Με βάση το σκεπτικό αυτό το Κακουργιοδικείο άσκησε τη διακριτική του εξουσία και έκανε αποδεχτή τη μαρτυρία, καίτοι η τελευταία ελήφθη κατά παράβαση του Νόμου.</w:t>
      </w:r>
    </w:p>
    <w:p w14:paraId="476988F7" w14:textId="77777777" w:rsidR="00F47711" w:rsidRDefault="00F47711" w:rsidP="0019677F">
      <w:pPr>
        <w:spacing w:line="480" w:lineRule="auto"/>
        <w:ind w:right="-34"/>
        <w:jc w:val="both"/>
        <w:rPr>
          <w:rFonts w:ascii="Bookman Old Style" w:hAnsi="Bookman Old Style" w:cs="Arial"/>
          <w:sz w:val="28"/>
          <w:szCs w:val="28"/>
          <w:lang w:val="el-GR"/>
        </w:rPr>
      </w:pPr>
    </w:p>
    <w:p w14:paraId="547A58EB" w14:textId="489C4238" w:rsidR="00F47711" w:rsidRDefault="00F47711" w:rsidP="0019677F">
      <w:pPr>
        <w:spacing w:line="480" w:lineRule="auto"/>
        <w:ind w:right="-34"/>
        <w:jc w:val="both"/>
        <w:rPr>
          <w:rFonts w:ascii="Bookman Old Style" w:hAnsi="Bookman Old Style" w:cs="Arial"/>
          <w:sz w:val="28"/>
          <w:szCs w:val="28"/>
          <w:lang w:val="el-GR"/>
        </w:rPr>
      </w:pPr>
      <w:r>
        <w:rPr>
          <w:rFonts w:ascii="Bookman Old Style" w:hAnsi="Bookman Old Style" w:cs="Arial"/>
          <w:sz w:val="28"/>
          <w:szCs w:val="28"/>
          <w:lang w:val="el-GR"/>
        </w:rPr>
        <w:t>(δ) Το Κακουργιοδικείο παραγνώρισε και αγνόησε παντελώς το γεγονός ότι δεν εξέταζε παραβίαση Νόμου αναφορικά με την αποδοχή ή μη της συγκεκριμένης μαρτυρίας, αλλά εξέταζε παραβίαση του Συντάγματος</w:t>
      </w:r>
      <w:r w:rsidR="00032473">
        <w:rPr>
          <w:rFonts w:ascii="Bookman Old Style" w:hAnsi="Bookman Old Style" w:cs="Arial"/>
          <w:sz w:val="28"/>
          <w:szCs w:val="28"/>
          <w:lang w:val="el-GR"/>
        </w:rPr>
        <w:t xml:space="preserve"> και άπαξ και διαπίστωσε παραβίαση του Νόμου, η εξαίρεση που ρητά αναφέρεται εις το </w:t>
      </w:r>
      <w:r w:rsidR="00032473" w:rsidRPr="00717CEE">
        <w:rPr>
          <w:rFonts w:ascii="Bookman Old Style" w:hAnsi="Bookman Old Style" w:cs="Arial"/>
          <w:b/>
          <w:bCs/>
          <w:i/>
          <w:iCs/>
          <w:sz w:val="28"/>
          <w:szCs w:val="28"/>
          <w:lang w:val="el-GR"/>
        </w:rPr>
        <w:t>Άρθρο 17</w:t>
      </w:r>
      <w:r w:rsidR="00032473">
        <w:rPr>
          <w:rFonts w:ascii="Bookman Old Style" w:hAnsi="Bookman Old Style" w:cs="Arial"/>
          <w:sz w:val="28"/>
          <w:szCs w:val="28"/>
          <w:lang w:val="el-GR"/>
        </w:rPr>
        <w:t xml:space="preserve"> του </w:t>
      </w:r>
      <w:r w:rsidR="00032473" w:rsidRPr="00717CEE">
        <w:rPr>
          <w:rFonts w:ascii="Bookman Old Style" w:hAnsi="Bookman Old Style" w:cs="Arial"/>
          <w:b/>
          <w:bCs/>
          <w:i/>
          <w:iCs/>
          <w:sz w:val="28"/>
          <w:szCs w:val="28"/>
          <w:lang w:val="el-GR"/>
        </w:rPr>
        <w:t>Συντάγματος</w:t>
      </w:r>
      <w:r w:rsidR="00032473">
        <w:rPr>
          <w:rFonts w:ascii="Bookman Old Style" w:hAnsi="Bookman Old Style" w:cs="Arial"/>
          <w:sz w:val="28"/>
          <w:szCs w:val="28"/>
          <w:lang w:val="el-GR"/>
        </w:rPr>
        <w:t xml:space="preserve"> έπαυσε νομικά να υφίσταται και, κατ</w:t>
      </w:r>
      <w:r w:rsidR="008A0B29">
        <w:rPr>
          <w:rFonts w:ascii="Bookman Old Style" w:hAnsi="Bookman Old Style" w:cs="Arial"/>
          <w:sz w:val="28"/>
          <w:szCs w:val="28"/>
          <w:lang w:val="el-GR"/>
        </w:rPr>
        <w:t xml:space="preserve">’ </w:t>
      </w:r>
      <w:r w:rsidR="00032473">
        <w:rPr>
          <w:rFonts w:ascii="Bookman Old Style" w:hAnsi="Bookman Old Style" w:cs="Arial"/>
          <w:sz w:val="28"/>
          <w:szCs w:val="28"/>
          <w:lang w:val="el-GR"/>
        </w:rPr>
        <w:t>επέκταση, το Δικαστήριο λανθασμένα δεν διέγνωσε, κατ</w:t>
      </w:r>
      <w:r w:rsidR="008A0B29">
        <w:rPr>
          <w:rFonts w:ascii="Bookman Old Style" w:hAnsi="Bookman Old Style" w:cs="Arial"/>
          <w:sz w:val="28"/>
          <w:szCs w:val="28"/>
          <w:lang w:val="el-GR"/>
        </w:rPr>
        <w:t xml:space="preserve">’ </w:t>
      </w:r>
      <w:r w:rsidR="00032473">
        <w:rPr>
          <w:rFonts w:ascii="Bookman Old Style" w:hAnsi="Bookman Old Style" w:cs="Arial"/>
          <w:sz w:val="28"/>
          <w:szCs w:val="28"/>
          <w:lang w:val="el-GR"/>
        </w:rPr>
        <w:t xml:space="preserve">ακολουθίαν, παραβίαση του </w:t>
      </w:r>
      <w:r w:rsidR="00032473" w:rsidRPr="00717CEE">
        <w:rPr>
          <w:rFonts w:ascii="Bookman Old Style" w:hAnsi="Bookman Old Style" w:cs="Arial"/>
          <w:b/>
          <w:bCs/>
          <w:i/>
          <w:iCs/>
          <w:sz w:val="28"/>
          <w:szCs w:val="28"/>
          <w:lang w:val="el-GR"/>
        </w:rPr>
        <w:t>Άρθρου 17</w:t>
      </w:r>
      <w:r w:rsidR="00032473">
        <w:rPr>
          <w:rFonts w:ascii="Bookman Old Style" w:hAnsi="Bookman Old Style" w:cs="Arial"/>
          <w:sz w:val="28"/>
          <w:szCs w:val="28"/>
          <w:lang w:val="el-GR"/>
        </w:rPr>
        <w:t xml:space="preserve"> του </w:t>
      </w:r>
      <w:r w:rsidR="00032473" w:rsidRPr="00717CEE">
        <w:rPr>
          <w:rFonts w:ascii="Bookman Old Style" w:hAnsi="Bookman Old Style" w:cs="Arial"/>
          <w:b/>
          <w:bCs/>
          <w:i/>
          <w:iCs/>
          <w:sz w:val="28"/>
          <w:szCs w:val="28"/>
          <w:lang w:val="el-GR"/>
        </w:rPr>
        <w:t>Συντάγματος</w:t>
      </w:r>
      <w:r w:rsidR="00032473">
        <w:rPr>
          <w:rFonts w:ascii="Bookman Old Style" w:hAnsi="Bookman Old Style" w:cs="Arial"/>
          <w:sz w:val="28"/>
          <w:szCs w:val="28"/>
          <w:lang w:val="el-GR"/>
        </w:rPr>
        <w:t>.</w:t>
      </w:r>
      <w:r>
        <w:rPr>
          <w:rFonts w:ascii="Bookman Old Style" w:hAnsi="Bookman Old Style" w:cs="Arial"/>
          <w:sz w:val="28"/>
          <w:szCs w:val="28"/>
          <w:lang w:val="el-GR"/>
        </w:rPr>
        <w:t xml:space="preserve"> </w:t>
      </w:r>
    </w:p>
    <w:p w14:paraId="46ABD59F" w14:textId="77777777" w:rsidR="00AF25E6" w:rsidRDefault="00AF25E6" w:rsidP="0019677F">
      <w:pPr>
        <w:spacing w:line="480" w:lineRule="auto"/>
        <w:ind w:right="-34"/>
        <w:jc w:val="both"/>
        <w:rPr>
          <w:rFonts w:ascii="Bookman Old Style" w:hAnsi="Bookman Old Style" w:cs="Arial"/>
          <w:sz w:val="28"/>
          <w:szCs w:val="28"/>
          <w:lang w:val="el-GR"/>
        </w:rPr>
      </w:pPr>
    </w:p>
    <w:p w14:paraId="2C530700" w14:textId="2EDFFAD8" w:rsidR="00AF25E6" w:rsidRDefault="00AF25E6" w:rsidP="0019677F">
      <w:pPr>
        <w:spacing w:line="480" w:lineRule="auto"/>
        <w:ind w:right="-34"/>
        <w:jc w:val="both"/>
        <w:rPr>
          <w:rFonts w:ascii="Bookman Old Style" w:hAnsi="Bookman Old Style" w:cs="Arial"/>
          <w:sz w:val="28"/>
          <w:szCs w:val="28"/>
          <w:lang w:val="el-GR"/>
        </w:rPr>
      </w:pPr>
      <w:r>
        <w:rPr>
          <w:rFonts w:ascii="Bookman Old Style" w:hAnsi="Bookman Old Style" w:cs="Arial"/>
          <w:sz w:val="28"/>
          <w:szCs w:val="28"/>
          <w:lang w:val="el-GR"/>
        </w:rPr>
        <w:t xml:space="preserve">(ε) Στην προκείμενη περίπτωση η έφεση δεν αποτελεί υπαλλακτική θεραπεία, δεδομένου ότι το εγειρόμενο ζήτημα επηρεάζει συνταγματικό δικαίωμα του Αιτητή και του τρόπου που θα τύχει χειρισμού η υπόθεση του ενώπιον του Δικαστηρίου, αφού ο ρηθείς τρόπος είναι άρρηκτα συνδεδεμένος με την αποδοχή ή μη </w:t>
      </w:r>
      <w:r w:rsidR="005A3C34">
        <w:rPr>
          <w:rFonts w:ascii="Bookman Old Style" w:hAnsi="Bookman Old Style" w:cs="Arial"/>
          <w:sz w:val="28"/>
          <w:szCs w:val="28"/>
          <w:lang w:val="el-GR"/>
        </w:rPr>
        <w:t xml:space="preserve">της συγκεκριμένης μαρτυρίας, ήτοι του υπό συζήτηση σκληρού δίσκου, ως μέρος του μαρτυρικού υλικού ενώπιόν του. Εν πάση περιπτώσει, η παρούσα περίπτωση είναι από εκείνες που δύνανται να θεωρηθούν ως εξαιρετική περίπτωση. </w:t>
      </w:r>
    </w:p>
    <w:p w14:paraId="01CEF194" w14:textId="508DB946" w:rsidR="005A3C34" w:rsidRDefault="005A3C34" w:rsidP="0000790C">
      <w:pPr>
        <w:spacing w:line="480" w:lineRule="auto"/>
        <w:ind w:right="-35"/>
        <w:jc w:val="both"/>
        <w:rPr>
          <w:rFonts w:ascii="Bookman Old Style" w:hAnsi="Bookman Old Style" w:cs="Arial"/>
          <w:sz w:val="28"/>
          <w:szCs w:val="28"/>
          <w:lang w:val="el-GR"/>
        </w:rPr>
      </w:pPr>
      <w:r>
        <w:rPr>
          <w:rFonts w:ascii="Bookman Old Style" w:hAnsi="Bookman Old Style" w:cs="Arial"/>
          <w:sz w:val="28"/>
          <w:szCs w:val="28"/>
          <w:lang w:val="el-GR"/>
        </w:rPr>
        <w:lastRenderedPageBreak/>
        <w:t xml:space="preserve">(στ) Η ένσταση στην οποία εξεδόθη το μέρος της Απόφασης που προσβάλλεται δια της παρούσης Αιτήσεως εγένετο υπό του Κατηγορουμένου 2, πλην, όμως, από το εν λόγω μέρος επηρεάζονται άμεσα και τα δικαιώματα του Αιτητή στην πιο πάνω Ποινική Υπόθεση, δεδομένου ότι στον υπό κρίση σκληρό δίσκο περιλαμβάνονται επικοινωνίες του Αιτητή μετά του Κατηγορουμένου 2 και, κατ’ επέκταση, αποδοχή της εν λόγω μαρτυρίας θα συνιστά παραβίαση του συνταγματικού δικαιώματος του Αιτητή με βάση το </w:t>
      </w:r>
      <w:r w:rsidRPr="005A3C34">
        <w:rPr>
          <w:rFonts w:ascii="Bookman Old Style" w:hAnsi="Bookman Old Style" w:cs="Arial"/>
          <w:b/>
          <w:bCs/>
          <w:i/>
          <w:iCs/>
          <w:sz w:val="28"/>
          <w:szCs w:val="28"/>
          <w:lang w:val="el-GR"/>
        </w:rPr>
        <w:t>Άρθρο 17</w:t>
      </w:r>
      <w:r>
        <w:rPr>
          <w:rFonts w:ascii="Bookman Old Style" w:hAnsi="Bookman Old Style" w:cs="Arial"/>
          <w:sz w:val="28"/>
          <w:szCs w:val="28"/>
          <w:lang w:val="el-GR"/>
        </w:rPr>
        <w:t xml:space="preserve"> του </w:t>
      </w:r>
      <w:r w:rsidRPr="005A3C34">
        <w:rPr>
          <w:rFonts w:ascii="Bookman Old Style" w:hAnsi="Bookman Old Style" w:cs="Arial"/>
          <w:b/>
          <w:bCs/>
          <w:i/>
          <w:iCs/>
          <w:sz w:val="28"/>
          <w:szCs w:val="28"/>
          <w:lang w:val="el-GR"/>
        </w:rPr>
        <w:t>Συντάγματος</w:t>
      </w:r>
      <w:r>
        <w:rPr>
          <w:rFonts w:ascii="Bookman Old Style" w:hAnsi="Bookman Old Style" w:cs="Arial"/>
          <w:sz w:val="28"/>
          <w:szCs w:val="28"/>
          <w:lang w:val="el-GR"/>
        </w:rPr>
        <w:t>.</w:t>
      </w:r>
    </w:p>
    <w:p w14:paraId="52580963" w14:textId="77777777" w:rsidR="005A3C34" w:rsidRDefault="005A3C34" w:rsidP="0000790C">
      <w:pPr>
        <w:spacing w:line="480" w:lineRule="auto"/>
        <w:ind w:right="-35"/>
        <w:jc w:val="both"/>
        <w:rPr>
          <w:rFonts w:ascii="Bookman Old Style" w:hAnsi="Bookman Old Style" w:cs="Arial"/>
          <w:sz w:val="28"/>
          <w:szCs w:val="28"/>
          <w:lang w:val="el-GR"/>
        </w:rPr>
      </w:pPr>
    </w:p>
    <w:p w14:paraId="6E348648" w14:textId="5D55697C" w:rsidR="005A3C34" w:rsidRDefault="005A3C34" w:rsidP="0000790C">
      <w:pPr>
        <w:spacing w:line="480" w:lineRule="auto"/>
        <w:ind w:right="-35"/>
        <w:jc w:val="both"/>
        <w:rPr>
          <w:rFonts w:ascii="Bookman Old Style" w:hAnsi="Bookman Old Style" w:cs="Arial"/>
          <w:sz w:val="28"/>
          <w:szCs w:val="28"/>
          <w:lang w:val="el-GR"/>
        </w:rPr>
      </w:pPr>
      <w:r>
        <w:rPr>
          <w:rFonts w:ascii="Bookman Old Style" w:hAnsi="Bookman Old Style" w:cs="Arial"/>
          <w:sz w:val="28"/>
          <w:szCs w:val="28"/>
          <w:lang w:val="el-GR"/>
        </w:rPr>
        <w:t>Ο ευπαίδευτος συνήγορος του Αιτητή προώθησε τους προαναφερθέντες λόγους με γραπτή αγόρευση, αλλά και δια ζώσης κατά την επ’ ακροατηρίω συζήτηση της Αίτησης.</w:t>
      </w:r>
    </w:p>
    <w:p w14:paraId="4E489436" w14:textId="77777777" w:rsidR="005A3C34" w:rsidRDefault="005A3C34" w:rsidP="0000790C">
      <w:pPr>
        <w:spacing w:line="480" w:lineRule="auto"/>
        <w:ind w:right="-35"/>
        <w:jc w:val="both"/>
        <w:rPr>
          <w:rFonts w:ascii="Bookman Old Style" w:hAnsi="Bookman Old Style" w:cs="Arial"/>
          <w:sz w:val="28"/>
          <w:szCs w:val="28"/>
          <w:lang w:val="el-GR"/>
        </w:rPr>
      </w:pPr>
    </w:p>
    <w:p w14:paraId="58A8B652" w14:textId="1464F886" w:rsidR="00C52935" w:rsidRDefault="00C52935" w:rsidP="00C52935">
      <w:pPr>
        <w:overflowPunct w:val="0"/>
        <w:spacing w:line="480" w:lineRule="auto"/>
        <w:ind w:right="62"/>
        <w:jc w:val="both"/>
        <w:rPr>
          <w:rFonts w:ascii="Bookman Old Style" w:hAnsi="Bookman Old Style"/>
          <w:sz w:val="28"/>
          <w:szCs w:val="28"/>
          <w:lang w:val="el-GR"/>
        </w:rPr>
      </w:pPr>
      <w:r w:rsidRPr="00C52935">
        <w:rPr>
          <w:rFonts w:ascii="Bookman Old Style" w:hAnsi="Bookman Old Style"/>
          <w:sz w:val="28"/>
          <w:szCs w:val="28"/>
          <w:lang w:val="el-GR"/>
        </w:rPr>
        <w:t xml:space="preserve">Οι αρχές που διέπουν την έκδοση Προνομιακών Διαταγμάτων είναι παγιωμένες και χιλιοειπωμένες, ώστε να μην χρειάζεται να λεχθούν πολλά υπό το φως της πλούσιας νομολογίας του Ανωτάτου Δικαστηρίου. Πρόκειται για δικαιοδοσία που ασκείται με ιδιαίτερη φειδώ, πάντοτε κατά προνόμιο όταν διαπιστώνεται έλλειψη ή υπέρβαση δικαιοδοσίας, έκδηλη νομική πλάνη, δόλος, προκατάληψη και μη τήρηση των κανόνων της φυσικής δικαιοσύνης στην πρωτόδικη διαδικασία (βλ. </w:t>
      </w:r>
      <w:r w:rsidRPr="00C52935">
        <w:rPr>
          <w:rFonts w:ascii="Bookman Old Style" w:hAnsi="Bookman Old Style"/>
          <w:b/>
          <w:bCs/>
          <w:i/>
          <w:iCs/>
          <w:sz w:val="28"/>
          <w:szCs w:val="28"/>
          <w:lang w:val="el-GR"/>
        </w:rPr>
        <w:t xml:space="preserve">Αίτηση του Κωνσταντινίδη (2003) 1 Α.Α.Δ. 1298 </w:t>
      </w:r>
      <w:r w:rsidRPr="00C52935">
        <w:rPr>
          <w:rFonts w:ascii="Bookman Old Style" w:hAnsi="Bookman Old Style"/>
          <w:sz w:val="28"/>
          <w:szCs w:val="28"/>
          <w:lang w:val="el-GR"/>
        </w:rPr>
        <w:t xml:space="preserve">και </w:t>
      </w:r>
      <w:r w:rsidRPr="00C52935">
        <w:rPr>
          <w:rFonts w:ascii="Bookman Old Style" w:hAnsi="Bookman Old Style"/>
          <w:b/>
          <w:bCs/>
          <w:i/>
          <w:iCs/>
          <w:sz w:val="28"/>
          <w:szCs w:val="28"/>
        </w:rPr>
        <w:t>Perrella</w:t>
      </w:r>
      <w:r w:rsidRPr="00C52935">
        <w:rPr>
          <w:rFonts w:ascii="Bookman Old Style" w:hAnsi="Bookman Old Style"/>
          <w:b/>
          <w:bCs/>
          <w:i/>
          <w:iCs/>
          <w:sz w:val="28"/>
          <w:szCs w:val="28"/>
          <w:lang w:val="el-GR"/>
        </w:rPr>
        <w:t xml:space="preserve"> (Αρ. 2) (1995) </w:t>
      </w:r>
      <w:r w:rsidR="008A0B29">
        <w:rPr>
          <w:rFonts w:ascii="Bookman Old Style" w:hAnsi="Bookman Old Style"/>
          <w:b/>
          <w:bCs/>
          <w:i/>
          <w:iCs/>
          <w:sz w:val="28"/>
          <w:szCs w:val="28"/>
          <w:lang w:val="el-GR"/>
        </w:rPr>
        <w:t xml:space="preserve">                  </w:t>
      </w:r>
      <w:r w:rsidRPr="00C52935">
        <w:rPr>
          <w:rFonts w:ascii="Bookman Old Style" w:hAnsi="Bookman Old Style"/>
          <w:b/>
          <w:bCs/>
          <w:i/>
          <w:iCs/>
          <w:sz w:val="28"/>
          <w:szCs w:val="28"/>
          <w:lang w:val="el-GR"/>
        </w:rPr>
        <w:lastRenderedPageBreak/>
        <w:t>1 Α.Α.Δ. 692</w:t>
      </w:r>
      <w:r w:rsidRPr="00C52935">
        <w:rPr>
          <w:rFonts w:ascii="Bookman Old Style" w:hAnsi="Bookman Old Style"/>
          <w:sz w:val="28"/>
          <w:szCs w:val="28"/>
          <w:lang w:val="el-GR"/>
        </w:rPr>
        <w:t xml:space="preserve">). Ακόμη και αν υπάρχει εκ πρώτης όψεως συζητήσιμη υπόθεση δεν χορηγείται άδεια όταν προσφέρεται εναλλακτικό ένδικο μέσο ή θεραπεία που συνήθως είναι αυτό της έφεσης, οι δε εξαιρετικές περιστάσεις για να παρακαμφθεί ο πιο πάνω Κανόνας, θα πρέπει να καταδεικνύεται με επάρκεια ότι συντρέχουν (βλ. </w:t>
      </w:r>
      <w:r w:rsidRPr="00C52935">
        <w:rPr>
          <w:rFonts w:ascii="Bookman Old Style" w:hAnsi="Bookman Old Style"/>
          <w:b/>
          <w:bCs/>
          <w:i/>
          <w:iCs/>
          <w:sz w:val="28"/>
          <w:szCs w:val="28"/>
        </w:rPr>
        <w:t>Base</w:t>
      </w:r>
      <w:r w:rsidRPr="00C52935">
        <w:rPr>
          <w:rFonts w:ascii="Bookman Old Style" w:hAnsi="Bookman Old Style"/>
          <w:b/>
          <w:bCs/>
          <w:i/>
          <w:iCs/>
          <w:sz w:val="28"/>
          <w:szCs w:val="28"/>
          <w:lang w:val="el-GR"/>
        </w:rPr>
        <w:t xml:space="preserve"> </w:t>
      </w:r>
      <w:r w:rsidRPr="00C52935">
        <w:rPr>
          <w:rFonts w:ascii="Bookman Old Style" w:hAnsi="Bookman Old Style"/>
          <w:b/>
          <w:bCs/>
          <w:i/>
          <w:iCs/>
          <w:sz w:val="28"/>
          <w:szCs w:val="28"/>
        </w:rPr>
        <w:t>Metal</w:t>
      </w:r>
      <w:r w:rsidRPr="00C52935">
        <w:rPr>
          <w:rFonts w:ascii="Bookman Old Style" w:hAnsi="Bookman Old Style"/>
          <w:b/>
          <w:bCs/>
          <w:i/>
          <w:iCs/>
          <w:sz w:val="28"/>
          <w:szCs w:val="28"/>
          <w:lang w:val="el-GR"/>
        </w:rPr>
        <w:t xml:space="preserve"> </w:t>
      </w:r>
      <w:r w:rsidRPr="00C52935">
        <w:rPr>
          <w:rFonts w:ascii="Bookman Old Style" w:hAnsi="Bookman Old Style"/>
          <w:b/>
          <w:bCs/>
          <w:i/>
          <w:iCs/>
          <w:sz w:val="28"/>
          <w:szCs w:val="28"/>
        </w:rPr>
        <w:t>Trading</w:t>
      </w:r>
      <w:r w:rsidRPr="00C52935">
        <w:rPr>
          <w:rFonts w:ascii="Bookman Old Style" w:hAnsi="Bookman Old Style"/>
          <w:b/>
          <w:bCs/>
          <w:i/>
          <w:iCs/>
          <w:sz w:val="28"/>
          <w:szCs w:val="28"/>
          <w:lang w:val="el-GR"/>
        </w:rPr>
        <w:t xml:space="preserve"> </w:t>
      </w:r>
      <w:r w:rsidRPr="00C52935">
        <w:rPr>
          <w:rFonts w:ascii="Bookman Old Style" w:hAnsi="Bookman Old Style"/>
          <w:b/>
          <w:bCs/>
          <w:i/>
          <w:iCs/>
          <w:sz w:val="28"/>
          <w:szCs w:val="28"/>
        </w:rPr>
        <w:t>Ltd</w:t>
      </w:r>
      <w:r w:rsidRPr="00C52935">
        <w:rPr>
          <w:rFonts w:ascii="Bookman Old Style" w:hAnsi="Bookman Old Style"/>
          <w:b/>
          <w:bCs/>
          <w:i/>
          <w:iCs/>
          <w:sz w:val="28"/>
          <w:szCs w:val="28"/>
          <w:lang w:val="el-GR"/>
        </w:rPr>
        <w:t xml:space="preserve"> </w:t>
      </w:r>
      <w:r w:rsidRPr="00C52935">
        <w:rPr>
          <w:rFonts w:ascii="Bookman Old Style" w:hAnsi="Bookman Old Style"/>
          <w:b/>
          <w:bCs/>
          <w:i/>
          <w:iCs/>
          <w:sz w:val="28"/>
          <w:szCs w:val="28"/>
        </w:rPr>
        <w:t>v</w:t>
      </w:r>
      <w:r w:rsidRPr="00C52935">
        <w:rPr>
          <w:rFonts w:ascii="Bookman Old Style" w:hAnsi="Bookman Old Style"/>
          <w:b/>
          <w:bCs/>
          <w:i/>
          <w:iCs/>
          <w:sz w:val="28"/>
          <w:szCs w:val="28"/>
          <w:lang w:val="el-GR"/>
        </w:rPr>
        <w:t xml:space="preserve">. </w:t>
      </w:r>
      <w:r w:rsidRPr="00C52935">
        <w:rPr>
          <w:rFonts w:ascii="Bookman Old Style" w:hAnsi="Bookman Old Style"/>
          <w:b/>
          <w:bCs/>
          <w:i/>
          <w:iCs/>
          <w:sz w:val="28"/>
          <w:szCs w:val="28"/>
        </w:rPr>
        <w:t>Fastact</w:t>
      </w:r>
      <w:r w:rsidRPr="00C52935">
        <w:rPr>
          <w:rFonts w:ascii="Bookman Old Style" w:hAnsi="Bookman Old Style"/>
          <w:b/>
          <w:bCs/>
          <w:i/>
          <w:iCs/>
          <w:sz w:val="28"/>
          <w:szCs w:val="28"/>
          <w:lang w:val="el-GR"/>
        </w:rPr>
        <w:t xml:space="preserve"> </w:t>
      </w:r>
      <w:r w:rsidRPr="00C52935">
        <w:rPr>
          <w:rFonts w:ascii="Bookman Old Style" w:hAnsi="Bookman Old Style"/>
          <w:b/>
          <w:bCs/>
          <w:i/>
          <w:iCs/>
          <w:sz w:val="28"/>
          <w:szCs w:val="28"/>
        </w:rPr>
        <w:t>Developments</w:t>
      </w:r>
      <w:r w:rsidRPr="00C52935">
        <w:rPr>
          <w:rFonts w:ascii="Bookman Old Style" w:hAnsi="Bookman Old Style"/>
          <w:b/>
          <w:bCs/>
          <w:i/>
          <w:iCs/>
          <w:sz w:val="28"/>
          <w:szCs w:val="28"/>
          <w:lang w:val="el-GR"/>
        </w:rPr>
        <w:t xml:space="preserve"> </w:t>
      </w:r>
      <w:r w:rsidRPr="00C52935">
        <w:rPr>
          <w:rFonts w:ascii="Bookman Old Style" w:hAnsi="Bookman Old Style"/>
          <w:b/>
          <w:bCs/>
          <w:i/>
          <w:iCs/>
          <w:sz w:val="28"/>
          <w:szCs w:val="28"/>
        </w:rPr>
        <w:t>Ltd</w:t>
      </w:r>
      <w:r w:rsidRPr="00C52935">
        <w:rPr>
          <w:rFonts w:ascii="Bookman Old Style" w:hAnsi="Bookman Old Style"/>
          <w:b/>
          <w:bCs/>
          <w:i/>
          <w:iCs/>
          <w:sz w:val="28"/>
          <w:szCs w:val="28"/>
          <w:lang w:val="el-GR"/>
        </w:rPr>
        <w:t xml:space="preserve"> κ.ά. (2004) 1 Α.Α.Δ. 1535 </w:t>
      </w:r>
      <w:r w:rsidRPr="00C52935">
        <w:rPr>
          <w:rFonts w:ascii="Bookman Old Style" w:hAnsi="Bookman Old Style"/>
          <w:sz w:val="28"/>
          <w:szCs w:val="28"/>
          <w:lang w:val="el-GR"/>
        </w:rPr>
        <w:t xml:space="preserve">και </w:t>
      </w:r>
      <w:r w:rsidR="00E66C27">
        <w:rPr>
          <w:rFonts w:ascii="Bookman Old Style" w:hAnsi="Bookman Old Style"/>
          <w:b/>
          <w:bCs/>
          <w:i/>
          <w:iCs/>
          <w:sz w:val="28"/>
          <w:szCs w:val="28"/>
          <w:lang w:val="el-GR"/>
        </w:rPr>
        <w:t xml:space="preserve">Αναφορικά με την Αίτηση της </w:t>
      </w:r>
      <w:r w:rsidRPr="00C52935">
        <w:rPr>
          <w:rFonts w:ascii="Bookman Old Style" w:hAnsi="Bookman Old Style"/>
          <w:b/>
          <w:bCs/>
          <w:i/>
          <w:iCs/>
          <w:sz w:val="28"/>
          <w:szCs w:val="28"/>
          <w:lang w:val="el-GR"/>
        </w:rPr>
        <w:t>Τράπεζα</w:t>
      </w:r>
      <w:r w:rsidR="00E66C27">
        <w:rPr>
          <w:rFonts w:ascii="Bookman Old Style" w:hAnsi="Bookman Old Style"/>
          <w:b/>
          <w:bCs/>
          <w:i/>
          <w:iCs/>
          <w:sz w:val="28"/>
          <w:szCs w:val="28"/>
          <w:lang w:val="el-GR"/>
        </w:rPr>
        <w:t>ς</w:t>
      </w:r>
      <w:r w:rsidRPr="00C52935">
        <w:rPr>
          <w:rFonts w:ascii="Bookman Old Style" w:hAnsi="Bookman Old Style"/>
          <w:b/>
          <w:bCs/>
          <w:i/>
          <w:iCs/>
          <w:sz w:val="28"/>
          <w:szCs w:val="28"/>
          <w:lang w:val="el-GR"/>
        </w:rPr>
        <w:t xml:space="preserve"> Κύπρου Δημόσια</w:t>
      </w:r>
      <w:r w:rsidR="00E66C27">
        <w:rPr>
          <w:rFonts w:ascii="Bookman Old Style" w:hAnsi="Bookman Old Style"/>
          <w:b/>
          <w:bCs/>
          <w:i/>
          <w:iCs/>
          <w:sz w:val="28"/>
          <w:szCs w:val="28"/>
          <w:lang w:val="el-GR"/>
        </w:rPr>
        <w:t>ς</w:t>
      </w:r>
      <w:r w:rsidRPr="00C52935">
        <w:rPr>
          <w:rFonts w:ascii="Bookman Old Style" w:hAnsi="Bookman Old Style"/>
          <w:b/>
          <w:bCs/>
          <w:i/>
          <w:iCs/>
          <w:sz w:val="28"/>
          <w:szCs w:val="28"/>
          <w:lang w:val="el-GR"/>
        </w:rPr>
        <w:t xml:space="preserve"> Εταιρεία</w:t>
      </w:r>
      <w:r w:rsidR="00E66C27">
        <w:rPr>
          <w:rFonts w:ascii="Bookman Old Style" w:hAnsi="Bookman Old Style"/>
          <w:b/>
          <w:bCs/>
          <w:i/>
          <w:iCs/>
          <w:sz w:val="28"/>
          <w:szCs w:val="28"/>
          <w:lang w:val="el-GR"/>
        </w:rPr>
        <w:t>ς</w:t>
      </w:r>
      <w:r w:rsidRPr="00C52935">
        <w:rPr>
          <w:rFonts w:ascii="Bookman Old Style" w:hAnsi="Bookman Old Style"/>
          <w:b/>
          <w:bCs/>
          <w:i/>
          <w:iCs/>
          <w:sz w:val="28"/>
          <w:szCs w:val="28"/>
          <w:lang w:val="el-GR"/>
        </w:rPr>
        <w:t xml:space="preserve"> Λτδ κ.ά. (2012) 1 Α.Α.Δ. 878</w:t>
      </w:r>
      <w:r w:rsidRPr="00C52935">
        <w:rPr>
          <w:rFonts w:ascii="Bookman Old Style" w:hAnsi="Bookman Old Style"/>
          <w:sz w:val="28"/>
          <w:szCs w:val="28"/>
          <w:lang w:val="el-GR"/>
        </w:rPr>
        <w:t>).</w:t>
      </w:r>
    </w:p>
    <w:p w14:paraId="6BEEA4AA" w14:textId="77777777" w:rsidR="00C52935" w:rsidRPr="00717CEE" w:rsidRDefault="00C52935" w:rsidP="00C52935">
      <w:pPr>
        <w:overflowPunct w:val="0"/>
        <w:spacing w:line="480" w:lineRule="auto"/>
        <w:ind w:right="62"/>
        <w:jc w:val="both"/>
        <w:rPr>
          <w:rFonts w:ascii="Bookman Old Style" w:hAnsi="Bookman Old Style"/>
          <w:sz w:val="28"/>
          <w:szCs w:val="28"/>
          <w:lang w:val="el-GR"/>
        </w:rPr>
      </w:pPr>
    </w:p>
    <w:p w14:paraId="240B46A0" w14:textId="6FA206A2" w:rsidR="00C52935" w:rsidRDefault="00C52935" w:rsidP="00D52F4A">
      <w:pPr>
        <w:overflowPunct w:val="0"/>
        <w:spacing w:line="480" w:lineRule="auto"/>
        <w:ind w:right="62"/>
        <w:jc w:val="both"/>
        <w:rPr>
          <w:rFonts w:ascii="Bookman Old Style" w:hAnsi="Bookman Old Style"/>
          <w:sz w:val="28"/>
          <w:szCs w:val="28"/>
          <w:lang w:val="el-GR"/>
        </w:rPr>
      </w:pPr>
      <w:r w:rsidRPr="00C52935">
        <w:rPr>
          <w:rFonts w:ascii="Bookman Old Style" w:hAnsi="Bookman Old Style"/>
          <w:sz w:val="28"/>
          <w:szCs w:val="28"/>
          <w:lang w:val="el-GR"/>
        </w:rPr>
        <w:t>Έχει πλειστάκις αναφερθεί στη νομολογία ότι είναι στους ώμους του αιτητή το βάρος να καταδείξει συζητήσιμη υπόθεση. Ενδιαφέρει η νομιμότητα των ελεγχόμενων ενεργειών, αφού δεν μπορεί αντικείμενο της παρούσας διαδικασίας να είναι η ορθότητα, ούτε ο τρόπος άσκησης της διακριτικής ευχέρειας του Δικαστηρίου.</w:t>
      </w:r>
    </w:p>
    <w:p w14:paraId="7FB451E5" w14:textId="77777777" w:rsidR="00D52F4A" w:rsidRPr="00C52935" w:rsidRDefault="00D52F4A" w:rsidP="00D52F4A">
      <w:pPr>
        <w:overflowPunct w:val="0"/>
        <w:spacing w:line="480" w:lineRule="auto"/>
        <w:ind w:right="62"/>
        <w:jc w:val="both"/>
        <w:rPr>
          <w:rFonts w:ascii="Bookman Old Style" w:hAnsi="Bookman Old Style"/>
          <w:sz w:val="28"/>
          <w:szCs w:val="28"/>
          <w:lang w:val="el-GR"/>
        </w:rPr>
      </w:pPr>
    </w:p>
    <w:p w14:paraId="5FA13E11" w14:textId="77777777" w:rsidR="00C52935" w:rsidRPr="00C52935" w:rsidRDefault="00C52935" w:rsidP="00D52F4A">
      <w:pPr>
        <w:overflowPunct w:val="0"/>
        <w:spacing w:line="480" w:lineRule="auto"/>
        <w:ind w:right="62"/>
        <w:jc w:val="both"/>
        <w:rPr>
          <w:rFonts w:ascii="Bookman Old Style" w:hAnsi="Bookman Old Style"/>
          <w:sz w:val="28"/>
          <w:szCs w:val="28"/>
          <w:lang w:val="el-GR"/>
        </w:rPr>
      </w:pPr>
      <w:r w:rsidRPr="00C52935">
        <w:rPr>
          <w:rFonts w:ascii="Bookman Old Style" w:hAnsi="Bookman Old Style"/>
          <w:sz w:val="28"/>
          <w:szCs w:val="28"/>
          <w:lang w:val="el-GR"/>
        </w:rPr>
        <w:t xml:space="preserve">Όπως τονίσθηκε στην υπόθεση </w:t>
      </w:r>
      <w:r w:rsidRPr="00C52935">
        <w:rPr>
          <w:rFonts w:ascii="Bookman Old Style" w:hAnsi="Bookman Old Style"/>
          <w:b/>
          <w:bCs/>
          <w:i/>
          <w:iCs/>
          <w:sz w:val="28"/>
          <w:szCs w:val="28"/>
          <w:lang w:val="el-GR"/>
        </w:rPr>
        <w:t>Αναφορικά με την Αίτηση του Γενικού Εισαγγελέα της Δημοκρατίας (Αρ. 2) (1997) 1Β Α.Α.Δ. 925, 935</w:t>
      </w:r>
      <w:r w:rsidRPr="00C52935">
        <w:rPr>
          <w:rFonts w:ascii="Bookman Old Style" w:hAnsi="Bookman Old Style"/>
          <w:sz w:val="28"/>
          <w:szCs w:val="28"/>
          <w:lang w:val="el-GR"/>
        </w:rPr>
        <w:t>:</w:t>
      </w:r>
    </w:p>
    <w:p w14:paraId="47D6F921" w14:textId="77777777" w:rsidR="00C52935" w:rsidRPr="00C52935" w:rsidRDefault="00C52935" w:rsidP="00C52935">
      <w:pPr>
        <w:overflowPunct w:val="0"/>
        <w:spacing w:before="100" w:beforeAutospacing="1" w:after="100" w:afterAutospacing="1"/>
        <w:ind w:right="62"/>
        <w:jc w:val="both"/>
        <w:rPr>
          <w:rFonts w:ascii="Bookman Old Style" w:hAnsi="Bookman Old Style"/>
          <w:lang w:val="el-GR"/>
        </w:rPr>
      </w:pPr>
      <w:r w:rsidRPr="00C52935">
        <w:rPr>
          <w:rFonts w:ascii="Bookman Old Style" w:hAnsi="Bookman Old Style"/>
        </w:rPr>
        <w:t> </w:t>
      </w:r>
    </w:p>
    <w:p w14:paraId="1D20307F" w14:textId="77777777" w:rsidR="00C52935" w:rsidRPr="00C52935" w:rsidRDefault="00C52935" w:rsidP="00717CEE">
      <w:pPr>
        <w:overflowPunct w:val="0"/>
        <w:spacing w:before="100" w:beforeAutospacing="1" w:after="100" w:afterAutospacing="1" w:line="276" w:lineRule="auto"/>
        <w:ind w:left="426" w:right="390"/>
        <w:jc w:val="both"/>
        <w:rPr>
          <w:rFonts w:ascii="Bookman Old Style" w:hAnsi="Bookman Old Style"/>
          <w:sz w:val="28"/>
          <w:szCs w:val="28"/>
          <w:lang w:val="el-GR"/>
        </w:rPr>
      </w:pPr>
      <w:r w:rsidRPr="00C52935">
        <w:rPr>
          <w:rFonts w:ascii="Bookman Old Style" w:hAnsi="Bookman Old Style"/>
          <w:sz w:val="28"/>
          <w:szCs w:val="28"/>
          <w:lang w:val="el-GR"/>
        </w:rPr>
        <w:t>«</w:t>
      </w:r>
      <w:r w:rsidRPr="00C52935">
        <w:rPr>
          <w:rFonts w:ascii="Bookman Old Style" w:hAnsi="Bookman Old Style"/>
          <w:i/>
          <w:iCs/>
          <w:sz w:val="28"/>
          <w:szCs w:val="28"/>
          <w:lang w:val="el-GR"/>
        </w:rPr>
        <w:t xml:space="preserve">Αντικείμενο της διαδικασίας δεν είναι ο έλεγχος της ορθότητας μιας απόφασης αλλά της νομιμότητας της. Δεν τίθεται ζήτημα αντικατάστασης της άποψης που διαμόρφωσε το κατώτερο Δικαστήριο, αναφορικά με ζήτημα που αποφάσισε στα πλαίσια της δικαιοδοσίας του, με εκείνη του Ανωτάτου Δικαστηρίου. Δεν εκδίδεται ένταλμα </w:t>
      </w:r>
      <w:r w:rsidRPr="00C52935">
        <w:rPr>
          <w:rFonts w:ascii="Bookman Old Style" w:hAnsi="Bookman Old Style"/>
          <w:i/>
          <w:iCs/>
          <w:sz w:val="28"/>
          <w:szCs w:val="28"/>
          <w:lang w:val="en-US"/>
        </w:rPr>
        <w:lastRenderedPageBreak/>
        <w:t>Certiorari</w:t>
      </w:r>
      <w:r w:rsidRPr="00C52935">
        <w:rPr>
          <w:rFonts w:ascii="Bookman Old Style" w:hAnsi="Bookman Old Style"/>
          <w:i/>
          <w:iCs/>
          <w:sz w:val="28"/>
          <w:szCs w:val="28"/>
          <w:lang w:val="el-GR"/>
        </w:rPr>
        <w:t xml:space="preserve"> ως μανδύας μεταμφιεσμένης έφεσης. Ούτε και μπορεί να χρησιμοποιείται η διαδικασία για την έκδοση τέτοιου διατάγματος προκειμένου να γίνει επανακρόαση του ζητήματος που εγέρθηκε. Και δεν είναι επιτρεπτό να εκδίδεται ένταλμα </w:t>
      </w:r>
      <w:r w:rsidRPr="00C52935">
        <w:rPr>
          <w:rFonts w:ascii="Bookman Old Style" w:hAnsi="Bookman Old Style"/>
          <w:i/>
          <w:iCs/>
          <w:sz w:val="28"/>
          <w:szCs w:val="28"/>
          <w:lang w:val="en-US"/>
        </w:rPr>
        <w:t>Certiorari</w:t>
      </w:r>
      <w:r w:rsidRPr="00C52935">
        <w:rPr>
          <w:rFonts w:ascii="Bookman Old Style" w:hAnsi="Bookman Old Style"/>
          <w:i/>
          <w:iCs/>
          <w:sz w:val="28"/>
          <w:szCs w:val="28"/>
          <w:lang w:val="el-GR"/>
        </w:rPr>
        <w:t xml:space="preserve"> προκειμένου να υπαγορευθεί σε Δικαστήριο ο τρόπος με τον οποίο θα </w:t>
      </w:r>
      <w:r w:rsidRPr="00C52935">
        <w:rPr>
          <w:rFonts w:ascii="Bookman Old Style" w:hAnsi="Bookman Old Style"/>
          <w:b/>
          <w:bCs/>
          <w:i/>
          <w:iCs/>
          <w:sz w:val="28"/>
          <w:szCs w:val="28"/>
          <w:lang w:val="el-GR"/>
        </w:rPr>
        <w:t xml:space="preserve">πρέπει </w:t>
      </w:r>
      <w:r w:rsidRPr="00C52935">
        <w:rPr>
          <w:rFonts w:ascii="Bookman Old Style" w:hAnsi="Bookman Old Style"/>
          <w:i/>
          <w:iCs/>
          <w:sz w:val="28"/>
          <w:szCs w:val="28"/>
          <w:lang w:val="el-GR"/>
        </w:rPr>
        <w:t xml:space="preserve">να αποφασιστεί ζήτημα που εμπίπτει στη δικαιοδοσία του ή ακόμα ο τρόπος που θα ασκήσει τη διακριτική του εξουσία. (Βλέπε </w:t>
      </w:r>
      <w:r w:rsidRPr="00C52935">
        <w:rPr>
          <w:rFonts w:ascii="Bookman Old Style" w:hAnsi="Bookman Old Style"/>
          <w:b/>
          <w:bCs/>
          <w:i/>
          <w:iCs/>
          <w:sz w:val="28"/>
          <w:szCs w:val="28"/>
          <w:lang w:val="en-US"/>
        </w:rPr>
        <w:t>Re</w:t>
      </w:r>
      <w:r w:rsidRPr="00C52935">
        <w:rPr>
          <w:rFonts w:ascii="Bookman Old Style" w:hAnsi="Bookman Old Style"/>
          <w:b/>
          <w:bCs/>
          <w:i/>
          <w:iCs/>
          <w:sz w:val="28"/>
          <w:szCs w:val="28"/>
          <w:lang w:val="el-GR"/>
        </w:rPr>
        <w:t xml:space="preserve"> </w:t>
      </w:r>
      <w:r w:rsidRPr="00C52935">
        <w:rPr>
          <w:rFonts w:ascii="Bookman Old Style" w:hAnsi="Bookman Old Style"/>
          <w:b/>
          <w:bCs/>
          <w:i/>
          <w:iCs/>
          <w:sz w:val="28"/>
          <w:szCs w:val="28"/>
          <w:lang w:val="en-US"/>
        </w:rPr>
        <w:t>Mareware</w:t>
      </w:r>
      <w:r w:rsidRPr="00C52935">
        <w:rPr>
          <w:rFonts w:ascii="Bookman Old Style" w:hAnsi="Bookman Old Style"/>
          <w:b/>
          <w:bCs/>
          <w:i/>
          <w:iCs/>
          <w:sz w:val="28"/>
          <w:szCs w:val="28"/>
          <w:lang w:val="el-GR"/>
        </w:rPr>
        <w:t xml:space="preserve"> </w:t>
      </w:r>
      <w:r w:rsidRPr="00C52935">
        <w:rPr>
          <w:rFonts w:ascii="Bookman Old Style" w:hAnsi="Bookman Old Style"/>
          <w:b/>
          <w:bCs/>
          <w:i/>
          <w:iCs/>
          <w:sz w:val="28"/>
          <w:szCs w:val="28"/>
          <w:lang w:val="en-US"/>
        </w:rPr>
        <w:t>Shipping</w:t>
      </w:r>
      <w:r w:rsidRPr="00C52935">
        <w:rPr>
          <w:rFonts w:ascii="Bookman Old Style" w:hAnsi="Bookman Old Style"/>
          <w:b/>
          <w:bCs/>
          <w:i/>
          <w:iCs/>
          <w:sz w:val="28"/>
          <w:szCs w:val="28"/>
          <w:lang w:val="el-GR"/>
        </w:rPr>
        <w:t xml:space="preserve">, </w:t>
      </w:r>
      <w:r w:rsidRPr="00C52935">
        <w:rPr>
          <w:rFonts w:ascii="Bookman Old Style" w:hAnsi="Bookman Old Style"/>
          <w:i/>
          <w:iCs/>
          <w:sz w:val="28"/>
          <w:szCs w:val="28"/>
          <w:lang w:val="el-GR"/>
        </w:rPr>
        <w:t xml:space="preserve">Αίτηση 6/92/24.1.92 και </w:t>
      </w:r>
      <w:r w:rsidRPr="00C52935">
        <w:rPr>
          <w:rFonts w:ascii="Bookman Old Style" w:hAnsi="Bookman Old Style"/>
          <w:b/>
          <w:bCs/>
          <w:i/>
          <w:iCs/>
          <w:sz w:val="28"/>
          <w:szCs w:val="28"/>
          <w:lang w:val="el-GR"/>
        </w:rPr>
        <w:t xml:space="preserve">Τζεννάρο Περέλλα, </w:t>
      </w:r>
      <w:r w:rsidRPr="00C52935">
        <w:rPr>
          <w:rFonts w:ascii="Bookman Old Style" w:hAnsi="Bookman Old Style"/>
          <w:i/>
          <w:iCs/>
          <w:sz w:val="28"/>
          <w:szCs w:val="28"/>
          <w:lang w:val="el-GR"/>
        </w:rPr>
        <w:t>Πολιτική 'Εφεση 9169/18.7.95)</w:t>
      </w:r>
      <w:r w:rsidRPr="00C52935">
        <w:rPr>
          <w:rFonts w:ascii="Bookman Old Style" w:hAnsi="Bookman Old Style"/>
          <w:sz w:val="28"/>
          <w:szCs w:val="28"/>
          <w:lang w:val="el-GR"/>
        </w:rPr>
        <w:t>.»</w:t>
      </w:r>
    </w:p>
    <w:p w14:paraId="76F132E1" w14:textId="77777777" w:rsidR="00C52935" w:rsidRPr="00C52935" w:rsidRDefault="00C52935" w:rsidP="00C52935">
      <w:pPr>
        <w:overflowPunct w:val="0"/>
        <w:spacing w:before="100" w:beforeAutospacing="1" w:after="100" w:afterAutospacing="1"/>
        <w:ind w:right="62"/>
        <w:jc w:val="both"/>
        <w:rPr>
          <w:rFonts w:ascii="Bookman Old Style" w:hAnsi="Bookman Old Style"/>
          <w:sz w:val="28"/>
          <w:szCs w:val="28"/>
          <w:lang w:val="el-GR"/>
        </w:rPr>
      </w:pPr>
      <w:r w:rsidRPr="00C52935">
        <w:rPr>
          <w:rFonts w:ascii="Bookman Old Style" w:hAnsi="Bookman Old Style"/>
          <w:sz w:val="28"/>
          <w:szCs w:val="28"/>
        </w:rPr>
        <w:t> </w:t>
      </w:r>
    </w:p>
    <w:p w14:paraId="709324CA" w14:textId="77777777" w:rsidR="00C52935" w:rsidRDefault="00C52935" w:rsidP="00C52935">
      <w:pPr>
        <w:spacing w:line="480" w:lineRule="auto"/>
        <w:ind w:right="-35"/>
        <w:jc w:val="both"/>
        <w:rPr>
          <w:rFonts w:ascii="Bookman Old Style" w:hAnsi="Bookman Old Style" w:cs="Arial"/>
          <w:sz w:val="28"/>
          <w:szCs w:val="28"/>
          <w:lang w:val="el-GR"/>
        </w:rPr>
      </w:pPr>
      <w:r>
        <w:rPr>
          <w:rFonts w:ascii="Bookman Old Style" w:hAnsi="Bookman Old Style" w:cs="Arial"/>
          <w:sz w:val="28"/>
          <w:szCs w:val="28"/>
          <w:lang w:val="el-GR"/>
        </w:rPr>
        <w:t>Έχω διεξέλθει με προσοχή την προσβαλλόμενη Απόφαση του Κακουργιοδικείου, καθώς και ό,τι ο Αιτητής μέσω του συνηγόρου του έχει θέσει ενώπιον μου.</w:t>
      </w:r>
    </w:p>
    <w:p w14:paraId="41BD0339" w14:textId="77777777" w:rsidR="0088370D" w:rsidRDefault="0088370D" w:rsidP="00C52935">
      <w:pPr>
        <w:spacing w:line="480" w:lineRule="auto"/>
        <w:ind w:right="-35"/>
        <w:jc w:val="both"/>
        <w:rPr>
          <w:rFonts w:ascii="Bookman Old Style" w:hAnsi="Bookman Old Style" w:cs="Arial"/>
          <w:sz w:val="28"/>
          <w:szCs w:val="28"/>
          <w:lang w:val="el-GR"/>
        </w:rPr>
      </w:pPr>
    </w:p>
    <w:p w14:paraId="0AA46564" w14:textId="08A4FB3E" w:rsidR="00C52935" w:rsidRPr="00F36267" w:rsidRDefault="00C52935" w:rsidP="00F36267">
      <w:pPr>
        <w:spacing w:line="480" w:lineRule="auto"/>
        <w:jc w:val="both"/>
        <w:rPr>
          <w:rFonts w:ascii="Bookman Old Style" w:hAnsi="Bookman Old Style" w:cs="Arial"/>
          <w:sz w:val="28"/>
          <w:szCs w:val="28"/>
          <w:lang w:val="el-GR"/>
        </w:rPr>
      </w:pPr>
      <w:r w:rsidRPr="00F36267">
        <w:rPr>
          <w:rFonts w:ascii="Bookman Old Style" w:hAnsi="Bookman Old Style" w:cs="Arial"/>
          <w:sz w:val="28"/>
          <w:szCs w:val="28"/>
          <w:lang w:val="el-GR"/>
        </w:rPr>
        <w:t xml:space="preserve">Στην υπό εξέταση περίπτωση το </w:t>
      </w:r>
      <w:r w:rsidR="00032473">
        <w:rPr>
          <w:rFonts w:ascii="Bookman Old Style" w:hAnsi="Bookman Old Style" w:cs="Arial"/>
          <w:sz w:val="28"/>
          <w:szCs w:val="28"/>
          <w:lang w:val="el-GR"/>
        </w:rPr>
        <w:t xml:space="preserve">Κακουργιοδικείο (εφεξής </w:t>
      </w:r>
      <w:r w:rsidRPr="00F36267">
        <w:rPr>
          <w:rFonts w:ascii="Bookman Old Style" w:hAnsi="Bookman Old Style" w:cs="Arial"/>
          <w:sz w:val="28"/>
          <w:szCs w:val="28"/>
          <w:lang w:val="el-GR"/>
        </w:rPr>
        <w:t>Κατώτερο Δικαστήριο</w:t>
      </w:r>
      <w:r w:rsidR="00032473">
        <w:rPr>
          <w:rFonts w:ascii="Bookman Old Style" w:hAnsi="Bookman Old Style" w:cs="Arial"/>
          <w:sz w:val="28"/>
          <w:szCs w:val="28"/>
          <w:lang w:val="el-GR"/>
        </w:rPr>
        <w:t>)</w:t>
      </w:r>
      <w:r w:rsidRPr="00F36267">
        <w:rPr>
          <w:rFonts w:ascii="Bookman Old Style" w:hAnsi="Bookman Old Style" w:cs="Arial"/>
          <w:sz w:val="28"/>
          <w:szCs w:val="28"/>
          <w:lang w:val="el-GR"/>
        </w:rPr>
        <w:t xml:space="preserve"> ενεργώντας εντός του πλαισίου της δικαιοδοσίας του, αφού άκουσε σχετική μαρτυρία, κατέληξε σε μια αιτιολογημένη απόφαση. Είχε προς τούτο προηγηθεί η απόφαση του για διενέργεια δίκης εντός δίκης προς το σκοπό διαπίστωσης των συνθηκών κάτω από τις οποίες</w:t>
      </w:r>
      <w:r w:rsidR="0019677F">
        <w:rPr>
          <w:rFonts w:ascii="Bookman Old Style" w:hAnsi="Bookman Old Style" w:cs="Arial"/>
          <w:sz w:val="28"/>
          <w:szCs w:val="28"/>
          <w:lang w:val="el-GR"/>
        </w:rPr>
        <w:t>,</w:t>
      </w:r>
      <w:r w:rsidRPr="00F36267">
        <w:rPr>
          <w:rFonts w:ascii="Bookman Old Style" w:hAnsi="Bookman Old Style" w:cs="Arial"/>
          <w:sz w:val="28"/>
          <w:szCs w:val="28"/>
          <w:lang w:val="el-GR"/>
        </w:rPr>
        <w:t xml:space="preserve"> </w:t>
      </w:r>
      <w:r w:rsidR="0019677F">
        <w:rPr>
          <w:rFonts w:ascii="Bookman Old Style" w:hAnsi="Bookman Old Style" w:cs="Arial"/>
          <w:sz w:val="28"/>
          <w:szCs w:val="28"/>
          <w:lang w:val="el-GR"/>
        </w:rPr>
        <w:t>συγκεκριμένα αντικείμενα που η Κατηγορούσα Αρχή επιχείρησε να καταθέσει στο Κατώτερο Δικαστήριο ως Τεκμήρια, είχαν εξασφαλιστεί</w:t>
      </w:r>
      <w:r w:rsidRPr="00F36267">
        <w:rPr>
          <w:rFonts w:ascii="Bookman Old Style" w:hAnsi="Bookman Old Style" w:cs="Arial"/>
          <w:sz w:val="28"/>
          <w:szCs w:val="28"/>
          <w:lang w:val="el-GR"/>
        </w:rPr>
        <w:t>.</w:t>
      </w:r>
    </w:p>
    <w:p w14:paraId="5FD26659" w14:textId="77777777" w:rsidR="00C52935" w:rsidRPr="00F36267" w:rsidRDefault="00C52935" w:rsidP="00F36267">
      <w:pPr>
        <w:spacing w:line="480" w:lineRule="auto"/>
        <w:jc w:val="both"/>
        <w:rPr>
          <w:rFonts w:ascii="Bookman Old Style" w:hAnsi="Bookman Old Style" w:cs="Arial"/>
          <w:sz w:val="28"/>
          <w:szCs w:val="28"/>
          <w:lang w:val="el-GR"/>
        </w:rPr>
      </w:pPr>
      <w:r w:rsidRPr="00F36267">
        <w:rPr>
          <w:rFonts w:ascii="Bookman Old Style" w:hAnsi="Bookman Old Style" w:cs="Arial"/>
          <w:sz w:val="28"/>
          <w:szCs w:val="28"/>
          <w:lang w:val="el-GR"/>
        </w:rPr>
        <w:t> </w:t>
      </w:r>
    </w:p>
    <w:p w14:paraId="25AD46F1" w14:textId="1F0FEEB2" w:rsidR="00C52935" w:rsidRDefault="00C52935" w:rsidP="00F36267">
      <w:pPr>
        <w:spacing w:line="480" w:lineRule="auto"/>
        <w:jc w:val="both"/>
        <w:rPr>
          <w:rFonts w:ascii="Bookman Old Style" w:hAnsi="Bookman Old Style" w:cs="Arial"/>
          <w:sz w:val="28"/>
          <w:szCs w:val="28"/>
          <w:lang w:val="el-GR"/>
        </w:rPr>
      </w:pPr>
      <w:r w:rsidRPr="00F36267">
        <w:rPr>
          <w:rFonts w:ascii="Bookman Old Style" w:hAnsi="Bookman Old Style" w:cs="Arial"/>
          <w:sz w:val="28"/>
          <w:szCs w:val="28"/>
          <w:lang w:val="el-GR"/>
        </w:rPr>
        <w:t xml:space="preserve">Όπως διαπιστώνεται, στο πλαίσιο αυτό αμφότερες οι διάδικες πλευρές είχαν την ευκαιρία να ακουστούν τόσο επί των πραγματικών ζητημάτων που ανεδείχθησαν μέσω της μαρτυρίας που προσκομίσθηκε, όσο επί των </w:t>
      </w:r>
      <w:r w:rsidRPr="00F36267">
        <w:rPr>
          <w:rFonts w:ascii="Bookman Old Style" w:hAnsi="Bookman Old Style" w:cs="Arial"/>
          <w:sz w:val="28"/>
          <w:szCs w:val="28"/>
          <w:lang w:val="el-GR"/>
        </w:rPr>
        <w:lastRenderedPageBreak/>
        <w:t>νομικών ζητημάτων που αφορούσαν στο υπό εξέταση θέμα. Στην προσβαλλόμενη Απόφαση του Κατώτερου Δικαστηρίου γίνεται αναφορά και ανάλυση στις θέσεις και εισηγήσεις τους, με τελική κατάληξη το Κατώτερο Δικαστήριο να απορρίψει την επιχειρηματολογία των συνηγόρων του Αιτητή. Τυχόν λανθασμένη ερμηνεία του Νόμου από πλευράς του Δικαστηρίου ασφαλώς και δεν ενεργοποιεί την εφεδρεία αυτής της δικαιοδοσίας του Ανωτάτου Δικαστηρίου προς έκδοση Προνομιακών Ενταλμάτων.</w:t>
      </w:r>
    </w:p>
    <w:p w14:paraId="4013663D" w14:textId="77777777" w:rsidR="0019677F" w:rsidRPr="00F36267" w:rsidRDefault="0019677F" w:rsidP="00F36267">
      <w:pPr>
        <w:spacing w:line="480" w:lineRule="auto"/>
        <w:jc w:val="both"/>
        <w:rPr>
          <w:rFonts w:ascii="Bookman Old Style" w:hAnsi="Bookman Old Style" w:cs="Arial"/>
          <w:sz w:val="28"/>
          <w:szCs w:val="28"/>
          <w:lang w:val="el-GR"/>
        </w:rPr>
      </w:pPr>
    </w:p>
    <w:p w14:paraId="6E995E0E" w14:textId="77777777" w:rsidR="00C52935" w:rsidRDefault="00C52935" w:rsidP="0019677F">
      <w:pPr>
        <w:overflowPunct w:val="0"/>
        <w:spacing w:line="480" w:lineRule="auto"/>
        <w:ind w:right="62"/>
        <w:jc w:val="both"/>
        <w:rPr>
          <w:rFonts w:ascii="Bookman Old Style" w:hAnsi="Bookman Old Style" w:cs="Arial"/>
          <w:sz w:val="28"/>
          <w:szCs w:val="28"/>
          <w:lang w:val="el-GR"/>
        </w:rPr>
      </w:pPr>
      <w:r w:rsidRPr="0019677F">
        <w:rPr>
          <w:rFonts w:ascii="Bookman Old Style" w:hAnsi="Bookman Old Style" w:cs="Arial"/>
          <w:sz w:val="28"/>
          <w:szCs w:val="28"/>
          <w:lang w:val="el-GR"/>
        </w:rPr>
        <w:t xml:space="preserve">Όπως είναι νομολογημένο, Ένταλμα της φύσης </w:t>
      </w:r>
      <w:r w:rsidRPr="0019677F">
        <w:rPr>
          <w:rFonts w:ascii="Bookman Old Style" w:hAnsi="Bookman Old Style" w:cs="Arial"/>
          <w:i/>
          <w:iCs/>
          <w:sz w:val="28"/>
          <w:szCs w:val="28"/>
        </w:rPr>
        <w:t>Certiorari</w:t>
      </w:r>
      <w:r w:rsidRPr="0019677F">
        <w:rPr>
          <w:rFonts w:ascii="Bookman Old Style" w:hAnsi="Bookman Old Style" w:cs="Arial"/>
          <w:sz w:val="28"/>
          <w:szCs w:val="28"/>
          <w:lang w:val="el-GR"/>
        </w:rPr>
        <w:t xml:space="preserve"> μπορεί να εκδοθεί όταν έχει εμφιλοχωρήσει νομικό ελάττωμα εμφανές από τη δικογραφία, η ευχέρεια, όμως, αυτή δεν καλύπτει και τις νομικά εσφαλμένες αποφάσεις. Καλύπτει τις περιπτώσεις στις οποίες υπάρχει φανερά εσφαλμένη ερμηνεία νόμου ή εσφαλμένη εφαρμογή του σε δεδομένη περίπτωση. Δεν είναι αρκετό να υπάρχει σοβαρή πλάνη ή ακόμα και πλάνη σε σχέση με καθιερωμένη νομική αρχή (</w:t>
      </w:r>
      <w:r w:rsidRPr="0019677F">
        <w:rPr>
          <w:rFonts w:ascii="Bookman Old Style" w:hAnsi="Bookman Old Style" w:cs="Arial"/>
          <w:b/>
          <w:bCs/>
          <w:i/>
          <w:iCs/>
          <w:sz w:val="28"/>
          <w:szCs w:val="28"/>
        </w:rPr>
        <w:t>Watford</w:t>
      </w:r>
      <w:r w:rsidRPr="0019677F">
        <w:rPr>
          <w:rFonts w:ascii="Bookman Old Style" w:hAnsi="Bookman Old Style" w:cs="Arial"/>
          <w:b/>
          <w:bCs/>
          <w:i/>
          <w:iCs/>
          <w:sz w:val="28"/>
          <w:szCs w:val="28"/>
          <w:lang w:val="el-GR"/>
        </w:rPr>
        <w:t xml:space="preserve"> </w:t>
      </w:r>
      <w:r w:rsidRPr="0019677F">
        <w:rPr>
          <w:rFonts w:ascii="Bookman Old Style" w:hAnsi="Bookman Old Style" w:cs="Arial"/>
          <w:b/>
          <w:bCs/>
          <w:i/>
          <w:iCs/>
          <w:sz w:val="28"/>
          <w:szCs w:val="28"/>
        </w:rPr>
        <w:t>Petroleum</w:t>
      </w:r>
      <w:r w:rsidRPr="0019677F">
        <w:rPr>
          <w:rFonts w:ascii="Bookman Old Style" w:hAnsi="Bookman Old Style" w:cs="Arial"/>
          <w:b/>
          <w:bCs/>
          <w:i/>
          <w:iCs/>
          <w:sz w:val="28"/>
          <w:szCs w:val="28"/>
          <w:lang w:val="el-GR"/>
        </w:rPr>
        <w:t xml:space="preserve"> </w:t>
      </w:r>
      <w:r w:rsidRPr="0019677F">
        <w:rPr>
          <w:rFonts w:ascii="Bookman Old Style" w:hAnsi="Bookman Old Style" w:cs="Arial"/>
          <w:b/>
          <w:bCs/>
          <w:i/>
          <w:iCs/>
          <w:sz w:val="28"/>
          <w:szCs w:val="28"/>
        </w:rPr>
        <w:t>Ukraine</w:t>
      </w:r>
      <w:r w:rsidRPr="0019677F">
        <w:rPr>
          <w:rFonts w:ascii="Bookman Old Style" w:hAnsi="Bookman Old Style" w:cs="Arial"/>
          <w:b/>
          <w:bCs/>
          <w:i/>
          <w:iCs/>
          <w:sz w:val="28"/>
          <w:szCs w:val="28"/>
          <w:lang w:val="el-GR"/>
        </w:rPr>
        <w:t xml:space="preserve"> </w:t>
      </w:r>
      <w:r w:rsidRPr="0019677F">
        <w:rPr>
          <w:rFonts w:ascii="Bookman Old Style" w:hAnsi="Bookman Old Style" w:cs="Arial"/>
          <w:b/>
          <w:bCs/>
          <w:i/>
          <w:iCs/>
          <w:sz w:val="28"/>
          <w:szCs w:val="28"/>
        </w:rPr>
        <w:t>Holdings</w:t>
      </w:r>
      <w:r w:rsidRPr="0019677F">
        <w:rPr>
          <w:rFonts w:ascii="Bookman Old Style" w:hAnsi="Bookman Old Style" w:cs="Arial"/>
          <w:b/>
          <w:bCs/>
          <w:i/>
          <w:iCs/>
          <w:sz w:val="28"/>
          <w:szCs w:val="28"/>
          <w:lang w:val="el-GR"/>
        </w:rPr>
        <w:t xml:space="preserve"> </w:t>
      </w:r>
      <w:r w:rsidRPr="0019677F">
        <w:rPr>
          <w:rFonts w:ascii="Bookman Old Style" w:hAnsi="Bookman Old Style" w:cs="Arial"/>
          <w:b/>
          <w:bCs/>
          <w:i/>
          <w:iCs/>
          <w:sz w:val="28"/>
          <w:szCs w:val="28"/>
        </w:rPr>
        <w:t>Ltd</w:t>
      </w:r>
      <w:r w:rsidRPr="0019677F">
        <w:rPr>
          <w:rFonts w:ascii="Bookman Old Style" w:hAnsi="Bookman Old Style" w:cs="Arial"/>
          <w:b/>
          <w:bCs/>
          <w:i/>
          <w:iCs/>
          <w:sz w:val="28"/>
          <w:szCs w:val="28"/>
          <w:lang w:val="el-GR"/>
        </w:rPr>
        <w:t xml:space="preserve"> (2003) 1 Α.Α.Δ. 620</w:t>
      </w:r>
      <w:r w:rsidRPr="0019677F">
        <w:rPr>
          <w:rFonts w:ascii="Bookman Old Style" w:hAnsi="Bookman Old Style" w:cs="Arial"/>
          <w:sz w:val="28"/>
          <w:szCs w:val="28"/>
          <w:lang w:val="el-GR"/>
        </w:rPr>
        <w:t>). Πρέπει να υπάρχει πλάνη που μπορεί να διακριβωθεί από το Δικαστήριο αμέσως και όχι ύστερα από έρευνα των στοιχείων ή της μαρτυρίας (</w:t>
      </w:r>
      <w:r w:rsidRPr="0019677F">
        <w:rPr>
          <w:rFonts w:ascii="Bookman Old Style" w:hAnsi="Bookman Old Style" w:cs="Arial"/>
          <w:b/>
          <w:bCs/>
          <w:i/>
          <w:iCs/>
          <w:sz w:val="28"/>
          <w:szCs w:val="28"/>
          <w:lang w:val="el-GR"/>
        </w:rPr>
        <w:t>Αναφορικά με την Αίτηση της Εταιρείας Ξάνθος Λυσιώτης και Υιός Λτδ (1996) 1 Α.Α.Δ. 1066</w:t>
      </w:r>
      <w:r w:rsidRPr="0019677F">
        <w:rPr>
          <w:rFonts w:ascii="Bookman Old Style" w:hAnsi="Bookman Old Style" w:cs="Arial"/>
          <w:sz w:val="28"/>
          <w:szCs w:val="28"/>
          <w:lang w:val="el-GR"/>
        </w:rPr>
        <w:t xml:space="preserve">). Ό,τι εξετάζει το Δικαστήριο στην παρούσα διαδικασία είναι το σύννομο της </w:t>
      </w:r>
      <w:r w:rsidRPr="0019677F">
        <w:rPr>
          <w:rFonts w:ascii="Bookman Old Style" w:hAnsi="Bookman Old Style" w:cs="Arial"/>
          <w:sz w:val="28"/>
          <w:szCs w:val="28"/>
          <w:lang w:val="el-GR"/>
        </w:rPr>
        <w:lastRenderedPageBreak/>
        <w:t xml:space="preserve">ενέργειας του Κατώτερου Δικαστηρίου και όχι την ορθότητα της Απόφασής του (βλ. </w:t>
      </w:r>
      <w:r w:rsidRPr="0019677F">
        <w:rPr>
          <w:rFonts w:ascii="Bookman Old Style" w:hAnsi="Bookman Old Style" w:cs="Arial"/>
          <w:b/>
          <w:bCs/>
          <w:i/>
          <w:iCs/>
          <w:sz w:val="28"/>
          <w:szCs w:val="28"/>
          <w:lang w:val="el-GR"/>
        </w:rPr>
        <w:t xml:space="preserve">Αναφορικά με την Αίτηση των </w:t>
      </w:r>
      <w:r w:rsidRPr="0019677F">
        <w:rPr>
          <w:rFonts w:ascii="Bookman Old Style" w:hAnsi="Bookman Old Style" w:cs="Arial"/>
          <w:b/>
          <w:bCs/>
          <w:i/>
          <w:iCs/>
          <w:sz w:val="28"/>
          <w:szCs w:val="28"/>
          <w:lang w:val="en-US"/>
        </w:rPr>
        <w:t>Kazakhstan</w:t>
      </w:r>
      <w:r w:rsidRPr="0019677F">
        <w:rPr>
          <w:rFonts w:ascii="Bookman Old Style" w:hAnsi="Bookman Old Style" w:cs="Arial"/>
          <w:b/>
          <w:bCs/>
          <w:i/>
          <w:iCs/>
          <w:sz w:val="28"/>
          <w:szCs w:val="28"/>
          <w:lang w:val="el-GR"/>
        </w:rPr>
        <w:t xml:space="preserve"> </w:t>
      </w:r>
      <w:r w:rsidRPr="0019677F">
        <w:rPr>
          <w:rFonts w:ascii="Bookman Old Style" w:hAnsi="Bookman Old Style" w:cs="Arial"/>
          <w:b/>
          <w:bCs/>
          <w:i/>
          <w:iCs/>
          <w:sz w:val="28"/>
          <w:szCs w:val="28"/>
          <w:lang w:val="en-US"/>
        </w:rPr>
        <w:t>Kagazy</w:t>
      </w:r>
      <w:r w:rsidRPr="0019677F">
        <w:rPr>
          <w:rFonts w:ascii="Bookman Old Style" w:hAnsi="Bookman Old Style" w:cs="Arial"/>
          <w:b/>
          <w:bCs/>
          <w:i/>
          <w:iCs/>
          <w:sz w:val="28"/>
          <w:szCs w:val="28"/>
          <w:lang w:val="el-GR"/>
        </w:rPr>
        <w:t xml:space="preserve"> </w:t>
      </w:r>
      <w:r w:rsidRPr="0019677F">
        <w:rPr>
          <w:rFonts w:ascii="Bookman Old Style" w:hAnsi="Bookman Old Style" w:cs="Arial"/>
          <w:b/>
          <w:bCs/>
          <w:i/>
          <w:iCs/>
          <w:sz w:val="28"/>
          <w:szCs w:val="28"/>
          <w:lang w:val="en-US"/>
        </w:rPr>
        <w:t>Plc</w:t>
      </w:r>
      <w:r w:rsidRPr="0019677F">
        <w:rPr>
          <w:rFonts w:ascii="Bookman Old Style" w:hAnsi="Bookman Old Style" w:cs="Arial"/>
          <w:b/>
          <w:bCs/>
          <w:i/>
          <w:iCs/>
          <w:sz w:val="28"/>
          <w:szCs w:val="28"/>
          <w:lang w:val="el-GR"/>
        </w:rPr>
        <w:t xml:space="preserve"> κ.ά., Πολιτική Αίτηση Αρ. 24/2018, ημερ. 4/4/2018</w:t>
      </w:r>
      <w:r w:rsidRPr="0019677F">
        <w:rPr>
          <w:rFonts w:ascii="Bookman Old Style" w:hAnsi="Bookman Old Style" w:cs="Arial"/>
          <w:sz w:val="28"/>
          <w:szCs w:val="28"/>
          <w:lang w:val="el-GR"/>
        </w:rPr>
        <w:t>).</w:t>
      </w:r>
    </w:p>
    <w:p w14:paraId="38B61BDD" w14:textId="77777777" w:rsidR="0019677F" w:rsidRPr="00717CEE" w:rsidRDefault="0019677F" w:rsidP="0019677F">
      <w:pPr>
        <w:overflowPunct w:val="0"/>
        <w:spacing w:line="480" w:lineRule="auto"/>
        <w:ind w:right="62"/>
        <w:jc w:val="both"/>
        <w:rPr>
          <w:rFonts w:ascii="Bookman Old Style" w:hAnsi="Bookman Old Style" w:cs="Arial"/>
          <w:sz w:val="28"/>
          <w:szCs w:val="28"/>
          <w:lang w:val="el-GR"/>
        </w:rPr>
      </w:pPr>
    </w:p>
    <w:p w14:paraId="5D186E4A" w14:textId="6E8248FC" w:rsidR="00C52935" w:rsidRDefault="00C52935" w:rsidP="0019677F">
      <w:pPr>
        <w:overflowPunct w:val="0"/>
        <w:spacing w:line="480" w:lineRule="auto"/>
        <w:ind w:right="62"/>
        <w:jc w:val="both"/>
        <w:rPr>
          <w:rFonts w:ascii="Bookman Old Style" w:hAnsi="Bookman Old Style" w:cs="Arial"/>
          <w:sz w:val="28"/>
          <w:szCs w:val="28"/>
          <w:lang w:val="el-GR"/>
        </w:rPr>
      </w:pPr>
      <w:r w:rsidRPr="0019677F">
        <w:rPr>
          <w:rFonts w:ascii="Bookman Old Style" w:hAnsi="Bookman Old Style" w:cs="Arial"/>
          <w:sz w:val="28"/>
          <w:szCs w:val="28"/>
          <w:lang w:val="el-GR"/>
        </w:rPr>
        <w:t>Είναι πρόδηλο ότι μέσω της προβολής τ</w:t>
      </w:r>
      <w:r w:rsidR="00717CEE">
        <w:rPr>
          <w:rFonts w:ascii="Bookman Old Style" w:hAnsi="Bookman Old Style" w:cs="Arial"/>
          <w:sz w:val="28"/>
          <w:szCs w:val="28"/>
          <w:lang w:val="el-GR"/>
        </w:rPr>
        <w:t>ου</w:t>
      </w:r>
      <w:r w:rsidRPr="0019677F">
        <w:rPr>
          <w:rFonts w:ascii="Bookman Old Style" w:hAnsi="Bookman Old Style" w:cs="Arial"/>
          <w:sz w:val="28"/>
          <w:szCs w:val="28"/>
          <w:lang w:val="el-GR"/>
        </w:rPr>
        <w:t xml:space="preserve"> </w:t>
      </w:r>
      <w:r w:rsidRPr="0019677F">
        <w:rPr>
          <w:rFonts w:ascii="Bookman Old Style" w:hAnsi="Bookman Old Style" w:cs="Arial"/>
          <w:b/>
          <w:bCs/>
          <w:sz w:val="28"/>
          <w:szCs w:val="28"/>
          <w:lang w:val="el-GR"/>
        </w:rPr>
        <w:t>έκδηλ</w:t>
      </w:r>
      <w:r w:rsidR="00C84479">
        <w:rPr>
          <w:rFonts w:ascii="Bookman Old Style" w:hAnsi="Bookman Old Style" w:cs="Arial"/>
          <w:b/>
          <w:bCs/>
          <w:sz w:val="28"/>
          <w:szCs w:val="28"/>
          <w:lang w:val="el-GR"/>
        </w:rPr>
        <w:t>ου</w:t>
      </w:r>
      <w:r w:rsidRPr="0019677F">
        <w:rPr>
          <w:rFonts w:ascii="Bookman Old Style" w:hAnsi="Bookman Old Style" w:cs="Arial"/>
          <w:b/>
          <w:bCs/>
          <w:sz w:val="28"/>
          <w:szCs w:val="28"/>
          <w:lang w:val="el-GR"/>
        </w:rPr>
        <w:t xml:space="preserve"> </w:t>
      </w:r>
      <w:r w:rsidR="00C84479" w:rsidRPr="0019677F">
        <w:rPr>
          <w:rFonts w:ascii="Bookman Old Style" w:hAnsi="Bookman Old Style" w:cs="Arial"/>
          <w:b/>
          <w:bCs/>
          <w:sz w:val="28"/>
          <w:szCs w:val="28"/>
          <w:lang w:val="el-GR"/>
        </w:rPr>
        <w:t>νομικού σφάλματος</w:t>
      </w:r>
      <w:r w:rsidR="00C84479">
        <w:rPr>
          <w:rFonts w:ascii="Bookman Old Style" w:hAnsi="Bookman Old Style" w:cs="Arial"/>
          <w:sz w:val="28"/>
          <w:szCs w:val="28"/>
          <w:lang w:val="el-GR"/>
        </w:rPr>
        <w:t>,</w:t>
      </w:r>
      <w:r w:rsidR="00C84479" w:rsidRPr="0019677F">
        <w:rPr>
          <w:rFonts w:ascii="Bookman Old Style" w:hAnsi="Bookman Old Style" w:cs="Arial"/>
          <w:b/>
          <w:bCs/>
          <w:sz w:val="28"/>
          <w:szCs w:val="28"/>
          <w:lang w:val="el-GR"/>
        </w:rPr>
        <w:t xml:space="preserve"> </w:t>
      </w:r>
      <w:r w:rsidRPr="0019677F">
        <w:rPr>
          <w:rFonts w:ascii="Bookman Old Style" w:hAnsi="Bookman Old Style" w:cs="Arial"/>
          <w:sz w:val="28"/>
          <w:szCs w:val="28"/>
          <w:lang w:val="el-GR"/>
        </w:rPr>
        <w:t>ό,τι, εν προκειμένω, επιδιώκεται είναι ο έλεγχος της ορθότητας της Απόφασης του Κατώτερου Δικαστηρίου. Τα όσα ο Αιτητ</w:t>
      </w:r>
      <w:r w:rsidR="00717CEE">
        <w:rPr>
          <w:rFonts w:ascii="Bookman Old Style" w:hAnsi="Bookman Old Style" w:cs="Arial"/>
          <w:sz w:val="28"/>
          <w:szCs w:val="28"/>
          <w:lang w:val="el-GR"/>
        </w:rPr>
        <w:t>ή</w:t>
      </w:r>
      <w:r w:rsidRPr="0019677F">
        <w:rPr>
          <w:rFonts w:ascii="Bookman Old Style" w:hAnsi="Bookman Old Style" w:cs="Arial"/>
          <w:sz w:val="28"/>
          <w:szCs w:val="28"/>
          <w:lang w:val="el-GR"/>
        </w:rPr>
        <w:t>ς επικαλ</w:t>
      </w:r>
      <w:r w:rsidR="00717CEE">
        <w:rPr>
          <w:rFonts w:ascii="Bookman Old Style" w:hAnsi="Bookman Old Style" w:cs="Arial"/>
          <w:sz w:val="28"/>
          <w:szCs w:val="28"/>
          <w:lang w:val="el-GR"/>
        </w:rPr>
        <w:t>εί</w:t>
      </w:r>
      <w:r w:rsidRPr="0019677F">
        <w:rPr>
          <w:rFonts w:ascii="Bookman Old Style" w:hAnsi="Bookman Old Style" w:cs="Arial"/>
          <w:sz w:val="28"/>
          <w:szCs w:val="28"/>
          <w:lang w:val="el-GR"/>
        </w:rPr>
        <w:t xml:space="preserve">ται, με κάθε σεβασμό, δεν στοιχειοθετούν ούτε για σκοπούς παροχής άδειας ότι το Κατώτερο Δικαστήριο ενήργησε με έκδηλη πλάνη περί το Νόμο ή κατά άλλο τρόπο που να καθιστά την </w:t>
      </w:r>
      <w:r w:rsidR="006C544F">
        <w:rPr>
          <w:rFonts w:ascii="Bookman Old Style" w:hAnsi="Bookman Old Style" w:cs="Arial"/>
          <w:sz w:val="28"/>
          <w:szCs w:val="28"/>
          <w:lang w:val="el-GR"/>
        </w:rPr>
        <w:t>Α</w:t>
      </w:r>
      <w:r w:rsidRPr="0019677F">
        <w:rPr>
          <w:rFonts w:ascii="Bookman Old Style" w:hAnsi="Bookman Old Style" w:cs="Arial"/>
          <w:sz w:val="28"/>
          <w:szCs w:val="28"/>
          <w:lang w:val="el-GR"/>
        </w:rPr>
        <w:t xml:space="preserve">πόφαση του ελεγχόμενη ως προς τη νομιμότητα της. Όσα αποδίδονται στην υπό κρίση Απόφαση, ακόμη και αν αξιολογούνταν ως σφάλματα, θα αποτελούσαν νομικά σφάλματα που θα καθιστούσαν την απόφαση του μη ορθή, ελεγχόμενη στο τέλος με έφεση. Δεν θα συνιστούσε, όμως, ακόμη και αν το Κατώτερο Δικαστήριο είχε ασκήσει εσφαλμένα την κρίση του, απόφαση η οποία στερείτο νομιμότητας. Εν προκειμένω, στην πραγματικότητα ό,τι επιδιώκεται, υπό το μανδύα της προνομιακής θεραπείας, είναι ο έλεγχος της ορθότητας της απόφασης και αντικατάσταση της κρίσης που είτε ορθά, είτε λανθασμένα διαμόρφωσε το Κατώτερο Δικαστήριο. Όπως αναφέρεται στη νομολογία, τυχόν λανθασμένη ερμηνεία νόμου ή λανθασμένη αντίληψη του Δικαστηρίου δεν ελέγχεται με Προνομιακό Ένταλμα </w:t>
      </w:r>
      <w:r w:rsidRPr="0019677F">
        <w:rPr>
          <w:rFonts w:ascii="Bookman Old Style" w:hAnsi="Bookman Old Style" w:cs="Arial"/>
          <w:i/>
          <w:iCs/>
          <w:sz w:val="28"/>
          <w:szCs w:val="28"/>
        </w:rPr>
        <w:lastRenderedPageBreak/>
        <w:t>Certiorari</w:t>
      </w:r>
      <w:r w:rsidRPr="0019677F">
        <w:rPr>
          <w:rFonts w:ascii="Bookman Old Style" w:hAnsi="Bookman Old Style" w:cs="Arial"/>
          <w:sz w:val="28"/>
          <w:szCs w:val="28"/>
          <w:lang w:val="el-GR"/>
        </w:rPr>
        <w:t xml:space="preserve">, αλλά ελέγχεται ως προς την ορθότητα της με το ένδικο μέσο της έφεσης (βλ. </w:t>
      </w:r>
      <w:r w:rsidRPr="0019677F">
        <w:rPr>
          <w:rFonts w:ascii="Bookman Old Style" w:hAnsi="Bookman Old Style" w:cs="Arial"/>
          <w:i/>
          <w:iCs/>
          <w:sz w:val="28"/>
          <w:szCs w:val="28"/>
          <w:lang w:val="el-GR"/>
        </w:rPr>
        <w:t>Πέτρου Αρτέμη: Προνομιακά Εντάλματα</w:t>
      </w:r>
      <w:r w:rsidRPr="0019677F">
        <w:rPr>
          <w:rFonts w:ascii="Bookman Old Style" w:hAnsi="Bookman Old Style" w:cs="Arial"/>
          <w:sz w:val="28"/>
          <w:szCs w:val="28"/>
          <w:lang w:val="el-GR"/>
        </w:rPr>
        <w:t xml:space="preserve">, σελ. 127-128, </w:t>
      </w:r>
      <w:r w:rsidRPr="0019677F">
        <w:rPr>
          <w:rFonts w:ascii="Bookman Old Style" w:hAnsi="Bookman Old Style" w:cs="Arial"/>
          <w:b/>
          <w:bCs/>
          <w:i/>
          <w:iCs/>
          <w:sz w:val="28"/>
          <w:szCs w:val="28"/>
          <w:lang w:val="el-GR"/>
        </w:rPr>
        <w:t xml:space="preserve">Αίτηση της Μουστερή κ.ά., Πολιτική Αίτηση Αρ. 150/2017, ημερ. 24/10/2017, Αίτηση της </w:t>
      </w:r>
      <w:r w:rsidRPr="0019677F">
        <w:rPr>
          <w:rFonts w:ascii="Bookman Old Style" w:hAnsi="Bookman Old Style" w:cs="Arial"/>
          <w:b/>
          <w:bCs/>
          <w:i/>
          <w:iCs/>
          <w:sz w:val="28"/>
          <w:szCs w:val="28"/>
        </w:rPr>
        <w:t>Content</w:t>
      </w:r>
      <w:r w:rsidRPr="0019677F">
        <w:rPr>
          <w:rFonts w:ascii="Bookman Old Style" w:hAnsi="Bookman Old Style" w:cs="Arial"/>
          <w:b/>
          <w:bCs/>
          <w:i/>
          <w:iCs/>
          <w:sz w:val="28"/>
          <w:szCs w:val="28"/>
          <w:lang w:val="el-GR"/>
        </w:rPr>
        <w:t xml:space="preserve"> </w:t>
      </w:r>
      <w:r w:rsidRPr="0019677F">
        <w:rPr>
          <w:rFonts w:ascii="Bookman Old Style" w:hAnsi="Bookman Old Style" w:cs="Arial"/>
          <w:b/>
          <w:bCs/>
          <w:i/>
          <w:iCs/>
          <w:sz w:val="28"/>
          <w:szCs w:val="28"/>
        </w:rPr>
        <w:t>Union</w:t>
      </w:r>
      <w:r w:rsidRPr="0019677F">
        <w:rPr>
          <w:rFonts w:ascii="Bookman Old Style" w:hAnsi="Bookman Old Style" w:cs="Arial"/>
          <w:b/>
          <w:bCs/>
          <w:i/>
          <w:iCs/>
          <w:sz w:val="28"/>
          <w:szCs w:val="28"/>
          <w:lang w:val="el-GR"/>
        </w:rPr>
        <w:t xml:space="preserve"> </w:t>
      </w:r>
      <w:r w:rsidRPr="0019677F">
        <w:rPr>
          <w:rFonts w:ascii="Bookman Old Style" w:hAnsi="Bookman Old Style" w:cs="Arial"/>
          <w:b/>
          <w:bCs/>
          <w:i/>
          <w:iCs/>
          <w:sz w:val="28"/>
          <w:szCs w:val="28"/>
        </w:rPr>
        <w:t>S</w:t>
      </w:r>
      <w:r w:rsidRPr="0019677F">
        <w:rPr>
          <w:rFonts w:ascii="Bookman Old Style" w:hAnsi="Bookman Old Style" w:cs="Arial"/>
          <w:b/>
          <w:bCs/>
          <w:i/>
          <w:iCs/>
          <w:sz w:val="28"/>
          <w:szCs w:val="28"/>
          <w:lang w:val="el-GR"/>
        </w:rPr>
        <w:t>.</w:t>
      </w:r>
      <w:r w:rsidRPr="0019677F">
        <w:rPr>
          <w:rFonts w:ascii="Bookman Old Style" w:hAnsi="Bookman Old Style" w:cs="Arial"/>
          <w:b/>
          <w:bCs/>
          <w:i/>
          <w:iCs/>
          <w:sz w:val="28"/>
          <w:szCs w:val="28"/>
        </w:rPr>
        <w:t>A</w:t>
      </w:r>
      <w:r w:rsidRPr="0019677F">
        <w:rPr>
          <w:rFonts w:ascii="Bookman Old Style" w:hAnsi="Bookman Old Style" w:cs="Arial"/>
          <w:b/>
          <w:bCs/>
          <w:i/>
          <w:iCs/>
          <w:sz w:val="28"/>
          <w:szCs w:val="28"/>
          <w:lang w:val="el-GR"/>
        </w:rPr>
        <w:t xml:space="preserve">., Πολιτική Αίτηση Αρ. 64/2018, ημερ. 11/6/2018 </w:t>
      </w:r>
      <w:r w:rsidRPr="0019677F">
        <w:rPr>
          <w:rFonts w:ascii="Bookman Old Style" w:hAnsi="Bookman Old Style" w:cs="Arial"/>
          <w:sz w:val="28"/>
          <w:szCs w:val="28"/>
          <w:lang w:val="el-GR"/>
        </w:rPr>
        <w:t xml:space="preserve">και </w:t>
      </w:r>
      <w:r w:rsidRPr="0019677F">
        <w:rPr>
          <w:rFonts w:ascii="Bookman Old Style" w:hAnsi="Bookman Old Style" w:cs="Arial"/>
          <w:b/>
          <w:bCs/>
          <w:i/>
          <w:iCs/>
          <w:sz w:val="28"/>
          <w:szCs w:val="28"/>
          <w:lang w:val="el-GR"/>
        </w:rPr>
        <w:t>Αίτηση Γενικού Εισαγγελέα, Πολιτική Αίτηση Αρ. 24/2020, ημερ. 10/3/2020</w:t>
      </w:r>
      <w:r w:rsidRPr="0019677F">
        <w:rPr>
          <w:rFonts w:ascii="Bookman Old Style" w:hAnsi="Bookman Old Style" w:cs="Arial"/>
          <w:sz w:val="28"/>
          <w:szCs w:val="28"/>
          <w:lang w:val="el-GR"/>
        </w:rPr>
        <w:t>). Ακόμα και στην περίπτωση που το Δικαστήριο έχει λανθασμένα αντιληφθεί και ερμηνεύσει ένα νομοθέτημα, αυτό διορθώνεται κατ’ έφεση και όχι μέσω Προνομιακών Ενταλμάτων</w:t>
      </w:r>
      <w:bookmarkStart w:id="0" w:name="_ftnref2"/>
      <w:r w:rsidRPr="0019677F">
        <w:rPr>
          <w:rFonts w:ascii="Bookman Old Style" w:hAnsi="Bookman Old Style" w:cs="Arial"/>
          <w:sz w:val="28"/>
          <w:szCs w:val="28"/>
          <w:lang w:val="el-GR"/>
        </w:rPr>
        <w:t>.</w:t>
      </w:r>
      <w:bookmarkEnd w:id="0"/>
      <w:r w:rsidRPr="0019677F">
        <w:rPr>
          <w:rFonts w:ascii="Bookman Old Style" w:hAnsi="Bookman Old Style" w:cs="Arial"/>
          <w:sz w:val="28"/>
          <w:szCs w:val="28"/>
          <w:lang w:val="el-GR"/>
        </w:rPr>
        <w:t xml:space="preserve"> Το κατάλοιπο εξουσίας δεν αποτελεί μέσο για τον έλεγχο της ορθότητας των αποφάσεων πρωτόδικων Δικαστηρίων και ούτε μπορεί να αφεθεί η διαδικασία να χρησιμοποιηθεί ως έφεση υπό μεταμφίεση (βλ. </w:t>
      </w:r>
      <w:r w:rsidRPr="0019677F">
        <w:rPr>
          <w:rFonts w:ascii="Bookman Old Style" w:hAnsi="Bookman Old Style" w:cs="Arial"/>
          <w:b/>
          <w:bCs/>
          <w:i/>
          <w:iCs/>
          <w:sz w:val="28"/>
          <w:szCs w:val="28"/>
        </w:rPr>
        <w:t>Marewave</w:t>
      </w:r>
      <w:r w:rsidRPr="0019677F">
        <w:rPr>
          <w:rFonts w:ascii="Bookman Old Style" w:hAnsi="Bookman Old Style" w:cs="Arial"/>
          <w:b/>
          <w:bCs/>
          <w:i/>
          <w:iCs/>
          <w:sz w:val="28"/>
          <w:szCs w:val="28"/>
          <w:lang w:val="el-GR"/>
        </w:rPr>
        <w:t xml:space="preserve"> </w:t>
      </w:r>
      <w:r w:rsidRPr="0019677F">
        <w:rPr>
          <w:rFonts w:ascii="Bookman Old Style" w:hAnsi="Bookman Old Style" w:cs="Arial"/>
          <w:b/>
          <w:bCs/>
          <w:i/>
          <w:iCs/>
          <w:sz w:val="28"/>
          <w:szCs w:val="28"/>
        </w:rPr>
        <w:t>Shipping</w:t>
      </w:r>
      <w:r w:rsidRPr="0019677F">
        <w:rPr>
          <w:rFonts w:ascii="Bookman Old Style" w:hAnsi="Bookman Old Style" w:cs="Arial"/>
          <w:b/>
          <w:bCs/>
          <w:i/>
          <w:iCs/>
          <w:sz w:val="28"/>
          <w:szCs w:val="28"/>
          <w:lang w:val="el-GR"/>
        </w:rPr>
        <w:t xml:space="preserve"> &amp; </w:t>
      </w:r>
      <w:r w:rsidRPr="0019677F">
        <w:rPr>
          <w:rFonts w:ascii="Bookman Old Style" w:hAnsi="Bookman Old Style" w:cs="Arial"/>
          <w:b/>
          <w:bCs/>
          <w:i/>
          <w:iCs/>
          <w:sz w:val="28"/>
          <w:szCs w:val="28"/>
        </w:rPr>
        <w:t>Trading</w:t>
      </w:r>
      <w:r w:rsidRPr="0019677F">
        <w:rPr>
          <w:rFonts w:ascii="Bookman Old Style" w:hAnsi="Bookman Old Style" w:cs="Arial"/>
          <w:b/>
          <w:bCs/>
          <w:i/>
          <w:iCs/>
          <w:sz w:val="28"/>
          <w:szCs w:val="28"/>
          <w:lang w:val="el-GR"/>
        </w:rPr>
        <w:t xml:space="preserve"> </w:t>
      </w:r>
      <w:r w:rsidRPr="0019677F">
        <w:rPr>
          <w:rFonts w:ascii="Bookman Old Style" w:hAnsi="Bookman Old Style" w:cs="Arial"/>
          <w:b/>
          <w:bCs/>
          <w:i/>
          <w:iCs/>
          <w:sz w:val="28"/>
          <w:szCs w:val="28"/>
        </w:rPr>
        <w:t>Company</w:t>
      </w:r>
      <w:r w:rsidRPr="0019677F">
        <w:rPr>
          <w:rFonts w:ascii="Bookman Old Style" w:hAnsi="Bookman Old Style" w:cs="Arial"/>
          <w:b/>
          <w:bCs/>
          <w:i/>
          <w:iCs/>
          <w:sz w:val="28"/>
          <w:szCs w:val="28"/>
          <w:lang w:val="el-GR"/>
        </w:rPr>
        <w:t xml:space="preserve"> </w:t>
      </w:r>
      <w:r w:rsidRPr="0019677F">
        <w:rPr>
          <w:rFonts w:ascii="Bookman Old Style" w:hAnsi="Bookman Old Style" w:cs="Arial"/>
          <w:b/>
          <w:bCs/>
          <w:i/>
          <w:iCs/>
          <w:sz w:val="28"/>
          <w:szCs w:val="28"/>
        </w:rPr>
        <w:t>Ltd</w:t>
      </w:r>
      <w:r w:rsidRPr="0019677F">
        <w:rPr>
          <w:rFonts w:ascii="Bookman Old Style" w:hAnsi="Bookman Old Style" w:cs="Arial"/>
          <w:b/>
          <w:bCs/>
          <w:i/>
          <w:iCs/>
          <w:sz w:val="28"/>
          <w:szCs w:val="28"/>
          <w:lang w:val="el-GR"/>
        </w:rPr>
        <w:t xml:space="preserve"> (1992) 1 Α.Α.Δ. 116, Γενικός Εισαγγελέας (Αρ. 3) (1993) 1 Α.Α.Δ. 42</w:t>
      </w:r>
      <w:r w:rsidRPr="0019677F">
        <w:rPr>
          <w:rFonts w:ascii="Bookman Old Style" w:hAnsi="Bookman Old Style" w:cs="Arial"/>
          <w:sz w:val="28"/>
          <w:szCs w:val="28"/>
          <w:lang w:val="el-GR"/>
        </w:rPr>
        <w:t xml:space="preserve"> και </w:t>
      </w:r>
      <w:r w:rsidRPr="0019677F">
        <w:rPr>
          <w:rFonts w:ascii="Bookman Old Style" w:hAnsi="Bookman Old Style" w:cs="Arial"/>
          <w:b/>
          <w:bCs/>
          <w:i/>
          <w:iCs/>
          <w:sz w:val="28"/>
          <w:szCs w:val="28"/>
        </w:rPr>
        <w:t>Daventree</w:t>
      </w:r>
      <w:r w:rsidRPr="0019677F">
        <w:rPr>
          <w:rFonts w:ascii="Bookman Old Style" w:hAnsi="Bookman Old Style" w:cs="Arial"/>
          <w:b/>
          <w:bCs/>
          <w:i/>
          <w:iCs/>
          <w:sz w:val="28"/>
          <w:szCs w:val="28"/>
          <w:lang w:val="el-GR"/>
        </w:rPr>
        <w:t xml:space="preserve"> </w:t>
      </w:r>
      <w:r w:rsidRPr="0019677F">
        <w:rPr>
          <w:rFonts w:ascii="Bookman Old Style" w:hAnsi="Bookman Old Style" w:cs="Arial"/>
          <w:b/>
          <w:bCs/>
          <w:i/>
          <w:iCs/>
          <w:sz w:val="28"/>
          <w:szCs w:val="28"/>
        </w:rPr>
        <w:t>Trustees</w:t>
      </w:r>
      <w:r w:rsidRPr="0019677F">
        <w:rPr>
          <w:rFonts w:ascii="Bookman Old Style" w:hAnsi="Bookman Old Style" w:cs="Arial"/>
          <w:b/>
          <w:bCs/>
          <w:i/>
          <w:iCs/>
          <w:sz w:val="28"/>
          <w:szCs w:val="28"/>
          <w:lang w:val="el-GR"/>
        </w:rPr>
        <w:t xml:space="preserve"> </w:t>
      </w:r>
      <w:r w:rsidRPr="0019677F">
        <w:rPr>
          <w:rFonts w:ascii="Bookman Old Style" w:hAnsi="Bookman Old Style" w:cs="Arial"/>
          <w:b/>
          <w:bCs/>
          <w:i/>
          <w:iCs/>
          <w:sz w:val="28"/>
          <w:szCs w:val="28"/>
        </w:rPr>
        <w:t>Ltd</w:t>
      </w:r>
      <w:r w:rsidRPr="0019677F">
        <w:rPr>
          <w:rFonts w:ascii="Bookman Old Style" w:hAnsi="Bookman Old Style" w:cs="Arial"/>
          <w:b/>
          <w:bCs/>
          <w:i/>
          <w:iCs/>
          <w:sz w:val="28"/>
          <w:szCs w:val="28"/>
          <w:lang w:val="el-GR"/>
        </w:rPr>
        <w:t xml:space="preserve"> (2005) 1(</w:t>
      </w:r>
      <w:r w:rsidRPr="0019677F">
        <w:rPr>
          <w:rFonts w:ascii="Bookman Old Style" w:hAnsi="Bookman Old Style" w:cs="Arial"/>
          <w:b/>
          <w:bCs/>
          <w:i/>
          <w:iCs/>
          <w:sz w:val="28"/>
          <w:szCs w:val="28"/>
        </w:rPr>
        <w:t>A</w:t>
      </w:r>
      <w:r w:rsidRPr="0019677F">
        <w:rPr>
          <w:rFonts w:ascii="Bookman Old Style" w:hAnsi="Bookman Old Style" w:cs="Arial"/>
          <w:b/>
          <w:bCs/>
          <w:i/>
          <w:iCs/>
          <w:sz w:val="28"/>
          <w:szCs w:val="28"/>
          <w:lang w:val="el-GR"/>
        </w:rPr>
        <w:t>) Α.Α.Δ. 712</w:t>
      </w:r>
      <w:r w:rsidRPr="0019677F">
        <w:rPr>
          <w:rFonts w:ascii="Bookman Old Style" w:hAnsi="Bookman Old Style" w:cs="Arial"/>
          <w:sz w:val="28"/>
          <w:szCs w:val="28"/>
          <w:lang w:val="el-GR"/>
        </w:rPr>
        <w:t>).</w:t>
      </w:r>
    </w:p>
    <w:p w14:paraId="6A87B36B" w14:textId="77777777" w:rsidR="0019677F" w:rsidRPr="0019677F" w:rsidRDefault="0019677F" w:rsidP="0019677F">
      <w:pPr>
        <w:overflowPunct w:val="0"/>
        <w:spacing w:line="480" w:lineRule="auto"/>
        <w:ind w:right="62"/>
        <w:jc w:val="both"/>
        <w:rPr>
          <w:rFonts w:ascii="Bookman Old Style" w:hAnsi="Bookman Old Style" w:cs="Arial"/>
          <w:sz w:val="28"/>
          <w:szCs w:val="28"/>
          <w:lang w:val="el-GR"/>
        </w:rPr>
      </w:pPr>
    </w:p>
    <w:p w14:paraId="38302CC8" w14:textId="59DA0DC7" w:rsidR="00F36267" w:rsidRDefault="0050704D" w:rsidP="00F36267">
      <w:pPr>
        <w:overflowPunct w:val="0"/>
        <w:spacing w:line="480" w:lineRule="auto"/>
        <w:ind w:right="62"/>
        <w:jc w:val="both"/>
        <w:rPr>
          <w:rFonts w:ascii="Bookman Old Style" w:hAnsi="Bookman Old Style" w:cs="Arial"/>
          <w:sz w:val="28"/>
          <w:szCs w:val="28"/>
          <w:lang w:val="el-GR"/>
        </w:rPr>
      </w:pPr>
      <w:r w:rsidRPr="0019677F">
        <w:rPr>
          <w:rFonts w:ascii="Bookman Old Style" w:hAnsi="Bookman Old Style" w:cs="Arial"/>
          <w:sz w:val="28"/>
          <w:szCs w:val="28"/>
          <w:lang w:val="el-GR"/>
        </w:rPr>
        <w:t>Δεν πρέπει να λησμονείται ότι το Κατώτερο Δικαστήριο που αποδέχτηκε την</w:t>
      </w:r>
      <w:r>
        <w:rPr>
          <w:rFonts w:ascii="Bookman Old Style" w:hAnsi="Bookman Old Style" w:cs="Arial"/>
          <w:sz w:val="28"/>
          <w:szCs w:val="28"/>
          <w:lang w:val="el-GR"/>
        </w:rPr>
        <w:t xml:space="preserve"> κατάθεση του σκληρού δίσκου, </w:t>
      </w:r>
      <w:r w:rsidRPr="0050704D">
        <w:rPr>
          <w:rFonts w:ascii="Bookman Old Style" w:hAnsi="Bookman Old Style" w:cs="Arial"/>
          <w:b/>
          <w:bCs/>
          <w:sz w:val="28"/>
          <w:szCs w:val="28"/>
          <w:lang w:val="el-GR"/>
        </w:rPr>
        <w:t>Τεκμήριο 21</w:t>
      </w:r>
      <w:r>
        <w:rPr>
          <w:rFonts w:ascii="Bookman Old Style" w:hAnsi="Bookman Old Style" w:cs="Arial"/>
          <w:sz w:val="28"/>
          <w:szCs w:val="28"/>
          <w:lang w:val="el-GR"/>
        </w:rPr>
        <w:t xml:space="preserve"> στη Δίκη εντός Δίκης, διατηρεί, σε κάθε περίπτωση, την ευχέρεια αποκλεισμού αυτής της μαρτυρίας σε μεταγενέστερο στάδιο</w:t>
      </w:r>
      <w:r w:rsidR="00F36267">
        <w:rPr>
          <w:rStyle w:val="FootnoteReference"/>
          <w:rFonts w:ascii="Bookman Old Style" w:hAnsi="Bookman Old Style" w:cs="Arial"/>
          <w:sz w:val="28"/>
          <w:szCs w:val="28"/>
          <w:lang w:val="el-GR"/>
        </w:rPr>
        <w:footnoteReference w:id="2"/>
      </w:r>
      <w:r>
        <w:rPr>
          <w:rFonts w:ascii="Bookman Old Style" w:hAnsi="Bookman Old Style" w:cs="Arial"/>
          <w:sz w:val="28"/>
          <w:szCs w:val="28"/>
          <w:lang w:val="el-GR"/>
        </w:rPr>
        <w:t xml:space="preserve">. </w:t>
      </w:r>
      <w:r w:rsidR="00C66B16">
        <w:rPr>
          <w:rFonts w:ascii="Bookman Old Style" w:hAnsi="Bookman Old Style" w:cs="Arial"/>
          <w:sz w:val="28"/>
          <w:szCs w:val="28"/>
          <w:lang w:val="el-GR"/>
        </w:rPr>
        <w:t xml:space="preserve">Επιπλέον θα πρέπει να σημειωθεί </w:t>
      </w:r>
      <w:r w:rsidR="00C66B16">
        <w:rPr>
          <w:rFonts w:ascii="Bookman Old Style" w:hAnsi="Bookman Old Style" w:cs="Arial"/>
          <w:sz w:val="28"/>
          <w:szCs w:val="28"/>
          <w:lang w:val="el-GR"/>
        </w:rPr>
        <w:lastRenderedPageBreak/>
        <w:t>ότι σ</w:t>
      </w:r>
      <w:r>
        <w:rPr>
          <w:rFonts w:ascii="Bookman Old Style" w:hAnsi="Bookman Old Style" w:cs="Arial"/>
          <w:sz w:val="28"/>
          <w:szCs w:val="28"/>
          <w:lang w:val="el-GR"/>
        </w:rPr>
        <w:t xml:space="preserve">την περίπτωση που ο Αιτητής καταδικαστεί και η μαρτυρία που έχει γίνει αποδεχτή παρουσιάζεται να έχει συνδράμει στην κρίση για την καταδίκη του, </w:t>
      </w:r>
      <w:r w:rsidR="00C66B16">
        <w:rPr>
          <w:rFonts w:ascii="Bookman Old Style" w:hAnsi="Bookman Old Style" w:cs="Arial"/>
          <w:sz w:val="28"/>
          <w:szCs w:val="28"/>
          <w:lang w:val="el-GR"/>
        </w:rPr>
        <w:t>η προσβαλλόμενη Απόφαση του Κατώτερου Δικαστηρίου μπορεί κάλλιστα να αποτελέσει λόγο έφεσης κατά της τελικής απόφασης</w:t>
      </w:r>
      <w:r w:rsidR="00F36267" w:rsidRPr="00F36267">
        <w:rPr>
          <w:rFonts w:ascii="Arial" w:hAnsi="Arial" w:cs="Arial"/>
          <w:sz w:val="28"/>
          <w:szCs w:val="28"/>
          <w:lang w:val="el-GR"/>
        </w:rPr>
        <w:t xml:space="preserve"> </w:t>
      </w:r>
      <w:r w:rsidR="00F36267" w:rsidRPr="00F36267">
        <w:rPr>
          <w:rFonts w:ascii="Bookman Old Style" w:hAnsi="Bookman Old Style" w:cs="Arial"/>
          <w:sz w:val="28"/>
          <w:szCs w:val="28"/>
          <w:lang w:val="el-GR"/>
        </w:rPr>
        <w:t>(</w:t>
      </w:r>
      <w:r w:rsidR="00F36267" w:rsidRPr="00F36267">
        <w:rPr>
          <w:rFonts w:ascii="Bookman Old Style" w:hAnsi="Bookman Old Style" w:cs="Arial"/>
          <w:b/>
          <w:bCs/>
          <w:i/>
          <w:iCs/>
          <w:sz w:val="28"/>
          <w:szCs w:val="28"/>
          <w:lang w:val="el-GR"/>
        </w:rPr>
        <w:t xml:space="preserve">Αναφορικά με την </w:t>
      </w:r>
      <w:r w:rsidR="00F36267" w:rsidRPr="00F36267">
        <w:rPr>
          <w:rFonts w:ascii="Bookman Old Style" w:hAnsi="Bookman Old Style" w:cs="Arial"/>
          <w:b/>
          <w:bCs/>
          <w:i/>
          <w:iCs/>
          <w:sz w:val="28"/>
          <w:szCs w:val="28"/>
        </w:rPr>
        <w:t>S</w:t>
      </w:r>
      <w:r w:rsidR="00F36267" w:rsidRPr="00F36267">
        <w:rPr>
          <w:rFonts w:ascii="Bookman Old Style" w:hAnsi="Bookman Old Style" w:cs="Arial"/>
          <w:b/>
          <w:bCs/>
          <w:i/>
          <w:iCs/>
          <w:sz w:val="28"/>
          <w:szCs w:val="28"/>
          <w:lang w:val="el-GR"/>
        </w:rPr>
        <w:t>.</w:t>
      </w:r>
      <w:r w:rsidR="00F36267" w:rsidRPr="00F36267">
        <w:rPr>
          <w:rFonts w:ascii="Bookman Old Style" w:hAnsi="Bookman Old Style" w:cs="Arial"/>
          <w:b/>
          <w:bCs/>
          <w:i/>
          <w:iCs/>
          <w:sz w:val="28"/>
          <w:szCs w:val="28"/>
        </w:rPr>
        <w:t>N</w:t>
      </w:r>
      <w:r w:rsidR="00F36267" w:rsidRPr="00F36267">
        <w:rPr>
          <w:rFonts w:ascii="Bookman Old Style" w:hAnsi="Bookman Old Style" w:cs="Arial"/>
          <w:b/>
          <w:bCs/>
          <w:i/>
          <w:iCs/>
          <w:sz w:val="28"/>
          <w:szCs w:val="28"/>
          <w:lang w:val="el-GR"/>
        </w:rPr>
        <w:t>.</w:t>
      </w:r>
      <w:r w:rsidR="00F36267" w:rsidRPr="00F36267">
        <w:rPr>
          <w:rFonts w:ascii="Bookman Old Style" w:hAnsi="Bookman Old Style" w:cs="Arial"/>
          <w:b/>
          <w:bCs/>
          <w:i/>
          <w:iCs/>
          <w:sz w:val="28"/>
          <w:szCs w:val="28"/>
        </w:rPr>
        <w:t>K</w:t>
      </w:r>
      <w:r w:rsidR="00F36267" w:rsidRPr="00F36267">
        <w:rPr>
          <w:rFonts w:ascii="Bookman Old Style" w:hAnsi="Bookman Old Style" w:cs="Arial"/>
          <w:b/>
          <w:bCs/>
          <w:i/>
          <w:iCs/>
          <w:sz w:val="28"/>
          <w:szCs w:val="28"/>
          <w:lang w:val="el-GR"/>
        </w:rPr>
        <w:t xml:space="preserve">. </w:t>
      </w:r>
      <w:r w:rsidR="00F36267" w:rsidRPr="00F36267">
        <w:rPr>
          <w:rFonts w:ascii="Bookman Old Style" w:hAnsi="Bookman Old Style" w:cs="Arial"/>
          <w:b/>
          <w:bCs/>
          <w:i/>
          <w:iCs/>
          <w:sz w:val="28"/>
          <w:szCs w:val="28"/>
        </w:rPr>
        <w:t>EXCLUSIVE</w:t>
      </w:r>
      <w:r w:rsidR="00F36267" w:rsidRPr="00F36267">
        <w:rPr>
          <w:rFonts w:ascii="Bookman Old Style" w:hAnsi="Bookman Old Style" w:cs="Arial"/>
          <w:b/>
          <w:bCs/>
          <w:i/>
          <w:iCs/>
          <w:sz w:val="28"/>
          <w:szCs w:val="28"/>
          <w:lang w:val="el-GR"/>
        </w:rPr>
        <w:t xml:space="preserve"> </w:t>
      </w:r>
      <w:r w:rsidR="00F36267" w:rsidRPr="00F36267">
        <w:rPr>
          <w:rFonts w:ascii="Bookman Old Style" w:hAnsi="Bookman Old Style" w:cs="Arial"/>
          <w:b/>
          <w:bCs/>
          <w:i/>
          <w:iCs/>
          <w:sz w:val="28"/>
          <w:szCs w:val="28"/>
        </w:rPr>
        <w:t>PROPERTIES</w:t>
      </w:r>
      <w:r w:rsidR="00F36267" w:rsidRPr="00F36267">
        <w:rPr>
          <w:rFonts w:ascii="Bookman Old Style" w:hAnsi="Bookman Old Style" w:cs="Arial"/>
          <w:b/>
          <w:bCs/>
          <w:i/>
          <w:iCs/>
          <w:sz w:val="28"/>
          <w:szCs w:val="28"/>
          <w:lang w:val="el-GR"/>
        </w:rPr>
        <w:t xml:space="preserve"> </w:t>
      </w:r>
      <w:r w:rsidR="00F36267" w:rsidRPr="00F36267">
        <w:rPr>
          <w:rFonts w:ascii="Bookman Old Style" w:hAnsi="Bookman Old Style" w:cs="Arial"/>
          <w:b/>
          <w:bCs/>
          <w:i/>
          <w:iCs/>
          <w:sz w:val="28"/>
          <w:szCs w:val="28"/>
        </w:rPr>
        <w:t>LTD</w:t>
      </w:r>
      <w:r w:rsidR="00237D37">
        <w:rPr>
          <w:rFonts w:ascii="Bookman Old Style" w:hAnsi="Bookman Old Style" w:cs="Arial"/>
          <w:b/>
          <w:bCs/>
          <w:i/>
          <w:iCs/>
          <w:sz w:val="28"/>
          <w:szCs w:val="28"/>
          <w:lang w:val="el-GR"/>
        </w:rPr>
        <w:t xml:space="preserve"> (2015)                1(Β) Α.Α.Δ. 1734</w:t>
      </w:r>
      <w:r w:rsidR="00F36267">
        <w:rPr>
          <w:rFonts w:ascii="Bookman Old Style" w:hAnsi="Bookman Old Style" w:cs="Arial"/>
          <w:sz w:val="28"/>
          <w:szCs w:val="28"/>
          <w:lang w:val="el-GR"/>
        </w:rPr>
        <w:t>)</w:t>
      </w:r>
      <w:r w:rsidR="00C66B16" w:rsidRPr="00F36267">
        <w:rPr>
          <w:rFonts w:ascii="Bookman Old Style" w:hAnsi="Bookman Old Style" w:cs="Arial"/>
          <w:sz w:val="28"/>
          <w:szCs w:val="28"/>
          <w:lang w:val="el-GR"/>
        </w:rPr>
        <w:t xml:space="preserve">. </w:t>
      </w:r>
      <w:r w:rsidR="00F36267">
        <w:rPr>
          <w:rFonts w:ascii="Bookman Old Style" w:hAnsi="Bookman Old Style" w:cs="Arial"/>
          <w:sz w:val="28"/>
          <w:szCs w:val="28"/>
          <w:lang w:val="el-GR"/>
        </w:rPr>
        <w:t xml:space="preserve"> </w:t>
      </w:r>
    </w:p>
    <w:p w14:paraId="2F59FB83" w14:textId="77777777" w:rsidR="001A1387" w:rsidRDefault="001A1387" w:rsidP="00F36267">
      <w:pPr>
        <w:overflowPunct w:val="0"/>
        <w:spacing w:line="480" w:lineRule="auto"/>
        <w:ind w:right="62"/>
        <w:jc w:val="both"/>
        <w:rPr>
          <w:rFonts w:ascii="Bookman Old Style" w:hAnsi="Bookman Old Style" w:cs="Arial"/>
          <w:sz w:val="28"/>
          <w:szCs w:val="28"/>
          <w:lang w:val="el-GR"/>
        </w:rPr>
      </w:pPr>
    </w:p>
    <w:p w14:paraId="63451F25" w14:textId="470E5BA5" w:rsidR="00C66B16" w:rsidRDefault="00C66B16" w:rsidP="00C84479">
      <w:pPr>
        <w:overflowPunct w:val="0"/>
        <w:spacing w:line="480" w:lineRule="auto"/>
        <w:ind w:right="62"/>
        <w:jc w:val="both"/>
        <w:rPr>
          <w:rFonts w:ascii="Bookman Old Style" w:hAnsi="Bookman Old Style" w:cs="Tahoma"/>
          <w:spacing w:val="-4"/>
          <w:sz w:val="28"/>
          <w:szCs w:val="28"/>
          <w:lang w:val="el-GR"/>
        </w:rPr>
      </w:pPr>
      <w:r w:rsidRPr="00C66B16">
        <w:rPr>
          <w:rFonts w:ascii="Bookman Old Style" w:hAnsi="Bookman Old Style" w:cs="Tahoma"/>
          <w:spacing w:val="-4"/>
          <w:sz w:val="28"/>
          <w:szCs w:val="28"/>
          <w:lang w:val="el-GR"/>
        </w:rPr>
        <w:t xml:space="preserve">Όπως εξηγείται από τον Κωνσταντινίδη, Δ., στην </w:t>
      </w:r>
      <w:r w:rsidRPr="00C66B16">
        <w:rPr>
          <w:rFonts w:ascii="Bookman Old Style" w:hAnsi="Bookman Old Style" w:cs="Tahoma"/>
          <w:b/>
          <w:bCs/>
          <w:i/>
          <w:iCs/>
          <w:spacing w:val="-4"/>
          <w:sz w:val="28"/>
          <w:szCs w:val="28"/>
        </w:rPr>
        <w:t>Hellenger</w:t>
      </w:r>
      <w:r w:rsidRPr="00152626">
        <w:rPr>
          <w:rFonts w:ascii="Bookman Old Style" w:hAnsi="Bookman Old Style" w:cs="Tahoma"/>
          <w:b/>
          <w:bCs/>
          <w:i/>
          <w:iCs/>
          <w:spacing w:val="-4"/>
          <w:sz w:val="28"/>
          <w:szCs w:val="28"/>
          <w:lang w:val="el-GR"/>
        </w:rPr>
        <w:t xml:space="preserve"> </w:t>
      </w:r>
      <w:r w:rsidRPr="00C66B16">
        <w:rPr>
          <w:rFonts w:ascii="Bookman Old Style" w:hAnsi="Bookman Old Style" w:cs="Tahoma"/>
          <w:b/>
          <w:bCs/>
          <w:i/>
          <w:iCs/>
          <w:spacing w:val="-4"/>
          <w:sz w:val="28"/>
          <w:szCs w:val="28"/>
        </w:rPr>
        <w:t>Trading</w:t>
      </w:r>
      <w:r w:rsidRPr="00152626">
        <w:rPr>
          <w:rFonts w:ascii="Bookman Old Style" w:hAnsi="Bookman Old Style" w:cs="Tahoma"/>
          <w:b/>
          <w:bCs/>
          <w:i/>
          <w:iCs/>
          <w:spacing w:val="-4"/>
          <w:sz w:val="28"/>
          <w:szCs w:val="28"/>
          <w:lang w:val="el-GR"/>
        </w:rPr>
        <w:t xml:space="preserve"> </w:t>
      </w:r>
      <w:r w:rsidRPr="00C66B16">
        <w:rPr>
          <w:rFonts w:ascii="Bookman Old Style" w:hAnsi="Bookman Old Style" w:cs="Tahoma"/>
          <w:b/>
          <w:bCs/>
          <w:i/>
          <w:iCs/>
          <w:spacing w:val="-4"/>
          <w:sz w:val="28"/>
          <w:szCs w:val="28"/>
        </w:rPr>
        <w:t>Ltd</w:t>
      </w:r>
      <w:r w:rsidRPr="00152626">
        <w:rPr>
          <w:rFonts w:ascii="Bookman Old Style" w:hAnsi="Bookman Old Style" w:cs="Tahoma"/>
          <w:b/>
          <w:bCs/>
          <w:i/>
          <w:iCs/>
          <w:spacing w:val="-4"/>
          <w:sz w:val="28"/>
          <w:szCs w:val="28"/>
          <w:lang w:val="el-GR"/>
        </w:rPr>
        <w:t xml:space="preserve"> (2000) 1(</w:t>
      </w:r>
      <w:r w:rsidRPr="00C66B16">
        <w:rPr>
          <w:rFonts w:ascii="Bookman Old Style" w:hAnsi="Bookman Old Style" w:cs="Tahoma"/>
          <w:b/>
          <w:bCs/>
          <w:i/>
          <w:iCs/>
          <w:spacing w:val="-4"/>
          <w:sz w:val="28"/>
          <w:szCs w:val="28"/>
          <w:lang w:val="el-GR"/>
        </w:rPr>
        <w:t xml:space="preserve">Γ) </w:t>
      </w:r>
      <w:r w:rsidRPr="00C66B16">
        <w:rPr>
          <w:rFonts w:ascii="Bookman Old Style" w:hAnsi="Bookman Old Style" w:cs="Tahoma"/>
          <w:b/>
          <w:bCs/>
          <w:i/>
          <w:iCs/>
          <w:spacing w:val="-4"/>
          <w:sz w:val="28"/>
          <w:szCs w:val="28"/>
        </w:rPr>
        <w:t>A</w:t>
      </w:r>
      <w:r w:rsidRPr="00152626">
        <w:rPr>
          <w:rFonts w:ascii="Bookman Old Style" w:hAnsi="Bookman Old Style" w:cs="Tahoma"/>
          <w:b/>
          <w:bCs/>
          <w:i/>
          <w:iCs/>
          <w:spacing w:val="-4"/>
          <w:sz w:val="28"/>
          <w:szCs w:val="28"/>
          <w:lang w:val="el-GR"/>
        </w:rPr>
        <w:t>.</w:t>
      </w:r>
      <w:r w:rsidRPr="00C66B16">
        <w:rPr>
          <w:rFonts w:ascii="Bookman Old Style" w:hAnsi="Bookman Old Style" w:cs="Tahoma"/>
          <w:b/>
          <w:bCs/>
          <w:i/>
          <w:iCs/>
          <w:spacing w:val="-4"/>
          <w:sz w:val="28"/>
          <w:szCs w:val="28"/>
        </w:rPr>
        <w:t>A</w:t>
      </w:r>
      <w:r w:rsidR="00237D37">
        <w:rPr>
          <w:rFonts w:ascii="Bookman Old Style" w:hAnsi="Bookman Old Style" w:cs="Tahoma"/>
          <w:b/>
          <w:bCs/>
          <w:i/>
          <w:iCs/>
          <w:spacing w:val="-4"/>
          <w:sz w:val="28"/>
          <w:szCs w:val="28"/>
          <w:lang w:val="el-GR"/>
        </w:rPr>
        <w:t>.Δ. 1965</w:t>
      </w:r>
      <w:r w:rsidRPr="00237D37">
        <w:rPr>
          <w:rFonts w:ascii="Bookman Old Style" w:hAnsi="Bookman Old Style" w:cs="Tahoma"/>
          <w:spacing w:val="-4"/>
          <w:sz w:val="28"/>
          <w:szCs w:val="28"/>
          <w:lang w:val="el-GR"/>
        </w:rPr>
        <w:t>,</w:t>
      </w:r>
      <w:r w:rsidRPr="00C66B16">
        <w:rPr>
          <w:rFonts w:ascii="Bookman Old Style" w:hAnsi="Bookman Old Style" w:cs="Tahoma"/>
          <w:spacing w:val="-4"/>
          <w:sz w:val="28"/>
          <w:szCs w:val="28"/>
          <w:lang w:val="el-GR"/>
        </w:rPr>
        <w:t xml:space="preserve"> στη σελίδα 1975:-</w:t>
      </w:r>
    </w:p>
    <w:p w14:paraId="6DC8C80C" w14:textId="77777777" w:rsidR="00C66B16" w:rsidRPr="00152626" w:rsidRDefault="00C66B16" w:rsidP="00C84479">
      <w:pPr>
        <w:ind w:firstLine="284"/>
        <w:jc w:val="both"/>
        <w:rPr>
          <w:lang w:val="el-GR"/>
        </w:rPr>
      </w:pPr>
      <w:r w:rsidRPr="00C66B16">
        <w:rPr>
          <w:rFonts w:ascii="Tahoma" w:hAnsi="Tahoma" w:cs="Tahoma"/>
          <w:spacing w:val="-2"/>
          <w:lang w:val="el-GR"/>
        </w:rPr>
        <w:t> </w:t>
      </w:r>
    </w:p>
    <w:p w14:paraId="4AAF6CFE" w14:textId="77777777" w:rsidR="00C66B16" w:rsidRPr="00152626" w:rsidRDefault="00C66B16" w:rsidP="00C84479">
      <w:pPr>
        <w:spacing w:line="276" w:lineRule="auto"/>
        <w:ind w:left="426" w:right="390"/>
        <w:jc w:val="both"/>
        <w:rPr>
          <w:rFonts w:ascii="Bookman Old Style" w:hAnsi="Bookman Old Style"/>
          <w:sz w:val="28"/>
          <w:szCs w:val="28"/>
          <w:lang w:val="el-GR"/>
        </w:rPr>
      </w:pPr>
      <w:r w:rsidRPr="00C66B16">
        <w:rPr>
          <w:rFonts w:ascii="Bookman Old Style" w:hAnsi="Bookman Old Style" w:cs="Tahoma"/>
          <w:sz w:val="28"/>
          <w:szCs w:val="28"/>
          <w:lang w:val="el-GR"/>
        </w:rPr>
        <w:t>«</w:t>
      </w:r>
      <w:r w:rsidRPr="00C66B16">
        <w:rPr>
          <w:rFonts w:ascii="Bookman Old Style" w:hAnsi="Bookman Old Style" w:cs="Tahoma"/>
          <w:i/>
          <w:iCs/>
          <w:sz w:val="28"/>
          <w:szCs w:val="28"/>
          <w:lang w:val="el-GR"/>
        </w:rPr>
        <w:t>Και εφόσον παρέχεται η δυνατότητα άσκησης έφεσης, που επίσης θα εκδικαστεί από το Ανώτατο Δικαστήριο, και δι' αυτής θα είναι δυνατή η παροχή πλήρους και εξ ίσου αποτελεσματικής θεραπείας, η αίτηση που απευθύνεται στο κατάλοιπο της εξουσίας του Ανωτάτου Δικαστηρίου, δεν δικαιολογείται</w:t>
      </w:r>
      <w:r w:rsidRPr="00C66B16">
        <w:rPr>
          <w:rFonts w:ascii="Bookman Old Style" w:hAnsi="Bookman Old Style" w:cs="Tahoma"/>
          <w:sz w:val="28"/>
          <w:szCs w:val="28"/>
          <w:lang w:val="el-GR"/>
        </w:rPr>
        <w:t>.»</w:t>
      </w:r>
    </w:p>
    <w:p w14:paraId="5D479ADF" w14:textId="77777777" w:rsidR="00C66B16" w:rsidRPr="00152626" w:rsidRDefault="00C66B16" w:rsidP="00C84479">
      <w:pPr>
        <w:overflowPunct w:val="0"/>
        <w:spacing w:line="480" w:lineRule="auto"/>
        <w:ind w:right="62"/>
        <w:jc w:val="both"/>
        <w:rPr>
          <w:rFonts w:ascii="Arial" w:hAnsi="Arial" w:cs="Arial"/>
          <w:sz w:val="28"/>
          <w:szCs w:val="28"/>
          <w:lang w:val="el-GR"/>
        </w:rPr>
      </w:pPr>
    </w:p>
    <w:p w14:paraId="227F6F15" w14:textId="363F189E" w:rsidR="003365EF" w:rsidRDefault="003365EF" w:rsidP="00C84479">
      <w:pPr>
        <w:spacing w:line="480" w:lineRule="auto"/>
        <w:jc w:val="both"/>
        <w:rPr>
          <w:rFonts w:ascii="Bookman Old Style" w:hAnsi="Bookman Old Style" w:cs="Arial"/>
          <w:sz w:val="28"/>
          <w:szCs w:val="28"/>
          <w:lang w:val="el-GR"/>
        </w:rPr>
      </w:pPr>
      <w:r>
        <w:rPr>
          <w:rFonts w:ascii="Bookman Old Style" w:hAnsi="Bookman Old Style" w:cs="Arial"/>
          <w:sz w:val="28"/>
          <w:szCs w:val="28"/>
          <w:lang w:val="el-GR"/>
        </w:rPr>
        <w:t xml:space="preserve">Η υπόθεση </w:t>
      </w:r>
      <w:r>
        <w:rPr>
          <w:rFonts w:ascii="Bookman Old Style" w:hAnsi="Bookman Old Style" w:cs="Arial"/>
          <w:b/>
          <w:bCs/>
          <w:i/>
          <w:iCs/>
          <w:sz w:val="28"/>
          <w:szCs w:val="28"/>
          <w:lang w:val="el-GR"/>
        </w:rPr>
        <w:t>Αναφορικά με την Αίτηση των (1) Τράπεζα Κύπρου Δημόσια Εταιρεία Λτδ κ.ά., Πολιτική Αίτηση αρ. 69/2017, ημερ. 6/12/2017</w:t>
      </w:r>
      <w:r>
        <w:rPr>
          <w:rFonts w:ascii="Bookman Old Style" w:hAnsi="Bookman Old Style" w:cs="Arial"/>
          <w:sz w:val="28"/>
          <w:szCs w:val="28"/>
          <w:lang w:val="el-GR"/>
        </w:rPr>
        <w:t>, την οποία επικαλέστηκε ο ευπαίδευτος συνήγορος του Αιτητή, διακρίνεται με βάση τα δικά της περιστατικά. Επρόκειτο για ποινική διαδικασία στην οποία το Κατηγορητήριο ήταν άκυρο λόγω έλλειψης νομικού ερείσματος των Κατηγοριών.</w:t>
      </w:r>
    </w:p>
    <w:p w14:paraId="41B2EFC9" w14:textId="77777777" w:rsidR="007340E4" w:rsidRDefault="007340E4" w:rsidP="00C84479">
      <w:pPr>
        <w:spacing w:line="480" w:lineRule="auto"/>
        <w:jc w:val="both"/>
        <w:rPr>
          <w:rFonts w:ascii="Bookman Old Style" w:hAnsi="Bookman Old Style" w:cs="Arial"/>
          <w:sz w:val="28"/>
          <w:szCs w:val="28"/>
          <w:lang w:val="el-GR"/>
        </w:rPr>
      </w:pPr>
    </w:p>
    <w:p w14:paraId="26F47923" w14:textId="56AA6750" w:rsidR="00F36267" w:rsidRDefault="00F36267" w:rsidP="00C84479">
      <w:pPr>
        <w:spacing w:line="480" w:lineRule="auto"/>
        <w:jc w:val="both"/>
        <w:rPr>
          <w:rFonts w:ascii="Bookman Old Style" w:hAnsi="Bookman Old Style" w:cs="Arial"/>
          <w:sz w:val="28"/>
          <w:szCs w:val="28"/>
          <w:lang w:val="el-GR"/>
        </w:rPr>
      </w:pPr>
      <w:r w:rsidRPr="00F36267">
        <w:rPr>
          <w:rFonts w:ascii="Bookman Old Style" w:hAnsi="Bookman Old Style" w:cs="Arial"/>
          <w:sz w:val="28"/>
          <w:szCs w:val="28"/>
          <w:lang w:val="el-GR"/>
        </w:rPr>
        <w:lastRenderedPageBreak/>
        <w:t xml:space="preserve">Στη βάση </w:t>
      </w:r>
      <w:r w:rsidR="003365EF">
        <w:rPr>
          <w:rFonts w:ascii="Bookman Old Style" w:hAnsi="Bookman Old Style" w:cs="Arial"/>
          <w:sz w:val="28"/>
          <w:szCs w:val="28"/>
          <w:lang w:val="el-GR"/>
        </w:rPr>
        <w:t xml:space="preserve">όλων </w:t>
      </w:r>
      <w:r w:rsidRPr="00F36267">
        <w:rPr>
          <w:rFonts w:ascii="Bookman Old Style" w:hAnsi="Bookman Old Style" w:cs="Arial"/>
          <w:sz w:val="28"/>
          <w:szCs w:val="28"/>
          <w:lang w:val="el-GR"/>
        </w:rPr>
        <w:t>των πιο πάνω, δεν έχω ικανοποιηθεί ότι υπάρχει εκ πρώτης όψεως υπόθεση και/ή συζητήσιμο θέμα. Ούτε έχω ικανοποιηθεί ότι ο Αιτητής με τα όσα έχει πιο πάνω αναφέρει έχει καταδείξει την ύπαρξη εξαιρετικών περιστάσεων που να δικαιολογούν τη χορήγηση της αιτούμενης άδειας.</w:t>
      </w:r>
    </w:p>
    <w:p w14:paraId="027A9143" w14:textId="77777777" w:rsidR="0088370D" w:rsidRDefault="0088370D" w:rsidP="00C84479">
      <w:pPr>
        <w:spacing w:line="480" w:lineRule="auto"/>
        <w:jc w:val="both"/>
        <w:rPr>
          <w:rFonts w:ascii="Bookman Old Style" w:hAnsi="Bookman Old Style" w:cs="Arial"/>
          <w:sz w:val="28"/>
          <w:szCs w:val="28"/>
          <w:lang w:val="el-GR"/>
        </w:rPr>
      </w:pPr>
    </w:p>
    <w:p w14:paraId="52BAB977" w14:textId="51B20B4E" w:rsidR="00F36267" w:rsidRPr="00F36267" w:rsidRDefault="00F36267" w:rsidP="00C84479">
      <w:pPr>
        <w:spacing w:line="480" w:lineRule="auto"/>
        <w:jc w:val="both"/>
        <w:rPr>
          <w:lang w:val="el-GR"/>
        </w:rPr>
      </w:pPr>
      <w:r w:rsidRPr="00F36267">
        <w:rPr>
          <w:rFonts w:ascii="Bookman Old Style" w:hAnsi="Bookman Old Style" w:cs="Arial"/>
          <w:sz w:val="28"/>
          <w:szCs w:val="28"/>
          <w:lang w:val="el-GR"/>
        </w:rPr>
        <w:t xml:space="preserve">Ως εκ τούτου, </w:t>
      </w:r>
      <w:r w:rsidRPr="00F36267">
        <w:rPr>
          <w:rFonts w:ascii="Bookman Old Style" w:hAnsi="Bookman Old Style" w:cs="Arial"/>
          <w:b/>
          <w:bCs/>
          <w:sz w:val="28"/>
          <w:szCs w:val="28"/>
          <w:lang w:val="el-GR"/>
        </w:rPr>
        <w:t>η υπό κρίση Αίτηση απορρίπτεται</w:t>
      </w:r>
      <w:r w:rsidRPr="00F36267">
        <w:rPr>
          <w:rFonts w:ascii="Bookman Old Style" w:hAnsi="Bookman Old Style" w:cs="Arial"/>
          <w:sz w:val="28"/>
          <w:szCs w:val="28"/>
          <w:lang w:val="el-GR"/>
        </w:rPr>
        <w:t>.</w:t>
      </w:r>
      <w:r>
        <w:rPr>
          <w:rFonts w:ascii="Arial" w:hAnsi="Arial" w:cs="Arial"/>
          <w:sz w:val="28"/>
          <w:szCs w:val="28"/>
          <w:lang w:val="el-GR"/>
        </w:rPr>
        <w:t> </w:t>
      </w:r>
    </w:p>
    <w:p w14:paraId="005E7FD8" w14:textId="77777777" w:rsidR="005A3C34" w:rsidRDefault="005A3C34" w:rsidP="00C52935">
      <w:pPr>
        <w:spacing w:line="480" w:lineRule="auto"/>
        <w:ind w:right="-35"/>
        <w:jc w:val="both"/>
        <w:rPr>
          <w:rFonts w:ascii="Arial" w:hAnsi="Arial" w:cs="Arial"/>
          <w:sz w:val="28"/>
          <w:szCs w:val="28"/>
          <w:lang w:val="el-GR"/>
        </w:rPr>
      </w:pPr>
    </w:p>
    <w:p w14:paraId="24E84043" w14:textId="77777777" w:rsidR="001A1387" w:rsidRDefault="001A1387" w:rsidP="00C52935">
      <w:pPr>
        <w:spacing w:line="480" w:lineRule="auto"/>
        <w:ind w:right="-35"/>
        <w:jc w:val="both"/>
        <w:rPr>
          <w:rFonts w:ascii="Arial" w:hAnsi="Arial" w:cs="Arial"/>
          <w:sz w:val="28"/>
          <w:szCs w:val="28"/>
          <w:lang w:val="el-GR"/>
        </w:rPr>
      </w:pPr>
    </w:p>
    <w:p w14:paraId="65D5F8D3" w14:textId="77777777" w:rsidR="00756F59" w:rsidRDefault="00756F59" w:rsidP="00C52935">
      <w:pPr>
        <w:spacing w:line="480" w:lineRule="auto"/>
        <w:ind w:right="-35"/>
        <w:jc w:val="both"/>
        <w:rPr>
          <w:rFonts w:ascii="Arial" w:hAnsi="Arial" w:cs="Arial"/>
          <w:sz w:val="28"/>
          <w:szCs w:val="28"/>
          <w:lang w:val="el-GR"/>
        </w:rPr>
      </w:pPr>
    </w:p>
    <w:p w14:paraId="518AF945" w14:textId="77777777" w:rsidR="00756F59" w:rsidRDefault="00756F59" w:rsidP="00C52935">
      <w:pPr>
        <w:spacing w:line="480" w:lineRule="auto"/>
        <w:ind w:right="-35"/>
        <w:jc w:val="both"/>
        <w:rPr>
          <w:rFonts w:ascii="Arial" w:hAnsi="Arial" w:cs="Arial"/>
          <w:sz w:val="28"/>
          <w:szCs w:val="28"/>
          <w:lang w:val="el-GR"/>
        </w:rPr>
      </w:pPr>
    </w:p>
    <w:p w14:paraId="49B19255" w14:textId="77777777" w:rsidR="00756F59" w:rsidRPr="0050704D" w:rsidRDefault="00756F59" w:rsidP="00C52935">
      <w:pPr>
        <w:spacing w:line="480" w:lineRule="auto"/>
        <w:ind w:right="-35"/>
        <w:jc w:val="both"/>
        <w:rPr>
          <w:rFonts w:ascii="Arial" w:hAnsi="Arial" w:cs="Arial"/>
          <w:sz w:val="28"/>
          <w:szCs w:val="28"/>
          <w:lang w:val="el-GR"/>
        </w:rPr>
      </w:pPr>
    </w:p>
    <w:p w14:paraId="661E2BA1" w14:textId="77777777" w:rsidR="004C29CA" w:rsidRPr="0050704D" w:rsidRDefault="004C29CA" w:rsidP="0000790C">
      <w:pPr>
        <w:ind w:left="993" w:right="-35" w:hanging="426"/>
        <w:jc w:val="both"/>
        <w:rPr>
          <w:rFonts w:ascii="Bookman Old Style" w:hAnsi="Bookman Old Style" w:cs="Arial"/>
          <w:i/>
          <w:sz w:val="28"/>
          <w:szCs w:val="28"/>
          <w:lang w:val="el-GR"/>
        </w:rPr>
      </w:pPr>
    </w:p>
    <w:p w14:paraId="06875ECE" w14:textId="77777777" w:rsidR="00756F59" w:rsidRDefault="004C29CA" w:rsidP="00756F59">
      <w:pPr>
        <w:spacing w:line="480" w:lineRule="auto"/>
        <w:ind w:right="-35"/>
        <w:jc w:val="both"/>
        <w:rPr>
          <w:rFonts w:ascii="Bookman Old Style" w:hAnsi="Bookman Old Style" w:cs="Arial"/>
          <w:b/>
          <w:sz w:val="28"/>
          <w:szCs w:val="28"/>
          <w:lang w:val="el-GR"/>
        </w:rPr>
      </w:pPr>
      <w:r w:rsidRPr="0050704D">
        <w:rPr>
          <w:rFonts w:ascii="Bookman Old Style" w:hAnsi="Bookman Old Style" w:cs="Arial"/>
          <w:b/>
          <w:sz w:val="28"/>
          <w:szCs w:val="28"/>
          <w:lang w:val="el-GR"/>
        </w:rPr>
        <w:tab/>
      </w:r>
      <w:r w:rsidRPr="0050704D">
        <w:rPr>
          <w:rFonts w:ascii="Bookman Old Style" w:hAnsi="Bookman Old Style" w:cs="Arial"/>
          <w:b/>
          <w:sz w:val="28"/>
          <w:szCs w:val="28"/>
          <w:lang w:val="el-GR"/>
        </w:rPr>
        <w:tab/>
      </w:r>
      <w:r w:rsidRPr="0050704D">
        <w:rPr>
          <w:rFonts w:ascii="Bookman Old Style" w:hAnsi="Bookman Old Style" w:cs="Arial"/>
          <w:b/>
          <w:sz w:val="28"/>
          <w:szCs w:val="28"/>
          <w:lang w:val="el-GR"/>
        </w:rPr>
        <w:tab/>
      </w:r>
      <w:r w:rsidR="00F36267">
        <w:rPr>
          <w:rFonts w:ascii="Bookman Old Style" w:hAnsi="Bookman Old Style" w:cs="Arial"/>
          <w:b/>
          <w:sz w:val="28"/>
          <w:szCs w:val="28"/>
          <w:lang w:val="el-GR"/>
        </w:rPr>
        <w:t xml:space="preserve">               </w:t>
      </w:r>
      <w:r w:rsidR="007A0D8E" w:rsidRPr="00C52935">
        <w:rPr>
          <w:rFonts w:ascii="Bookman Old Style" w:hAnsi="Bookman Old Style" w:cs="Arial"/>
          <w:b/>
          <w:sz w:val="28"/>
          <w:szCs w:val="28"/>
          <w:lang w:val="el-GR"/>
        </w:rPr>
        <w:t>Λ. ΔΗΜΗΤΡΙΑΔΟΥ-ΑΝΔΡΕΟΥ</w:t>
      </w:r>
      <w:r w:rsidRPr="00C52935">
        <w:rPr>
          <w:rFonts w:ascii="Bookman Old Style" w:hAnsi="Bookman Old Style" w:cs="Arial"/>
          <w:b/>
          <w:sz w:val="28"/>
          <w:szCs w:val="28"/>
          <w:lang w:val="el-GR"/>
        </w:rPr>
        <w:t>,</w:t>
      </w:r>
      <w:r w:rsidR="00032473">
        <w:rPr>
          <w:rFonts w:ascii="Bookman Old Style" w:hAnsi="Bookman Old Style" w:cs="Arial"/>
          <w:b/>
          <w:sz w:val="28"/>
          <w:szCs w:val="28"/>
          <w:lang w:val="el-GR"/>
        </w:rPr>
        <w:t xml:space="preserve"> </w:t>
      </w:r>
    </w:p>
    <w:p w14:paraId="0F4D42AC" w14:textId="13B00D80" w:rsidR="004C29CA" w:rsidRPr="007A0D8E" w:rsidRDefault="00756F59" w:rsidP="00756F59">
      <w:pPr>
        <w:spacing w:line="480" w:lineRule="auto"/>
        <w:ind w:left="4320" w:right="-35" w:firstLine="720"/>
        <w:jc w:val="both"/>
        <w:rPr>
          <w:rFonts w:ascii="Bookman Old Style" w:hAnsi="Bookman Old Style" w:cs="Arial"/>
          <w:sz w:val="28"/>
          <w:szCs w:val="28"/>
          <w:lang w:val="el-GR"/>
        </w:rPr>
      </w:pPr>
      <w:r>
        <w:rPr>
          <w:rFonts w:ascii="Bookman Old Style" w:hAnsi="Bookman Old Style" w:cs="Arial"/>
          <w:b/>
          <w:sz w:val="28"/>
          <w:szCs w:val="28"/>
          <w:lang w:val="el-GR"/>
        </w:rPr>
        <w:t xml:space="preserve">       </w:t>
      </w:r>
      <w:r w:rsidR="00032473">
        <w:rPr>
          <w:rFonts w:ascii="Bookman Old Style" w:hAnsi="Bookman Old Style" w:cs="Arial"/>
          <w:b/>
          <w:sz w:val="28"/>
          <w:szCs w:val="28"/>
          <w:lang w:val="el-GR"/>
        </w:rPr>
        <w:t>Δ.</w:t>
      </w:r>
    </w:p>
    <w:sectPr w:rsidR="004C29CA" w:rsidRPr="007A0D8E" w:rsidSect="00946B85">
      <w:headerReference w:type="default" r:id="rId8"/>
      <w:pgSz w:w="11906" w:h="16838"/>
      <w:pgMar w:top="1440" w:right="1080" w:bottom="1440"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00B2AC0" w14:textId="77777777" w:rsidR="00946B85" w:rsidRDefault="00946B85" w:rsidP="00B43113">
      <w:r>
        <w:separator/>
      </w:r>
    </w:p>
  </w:endnote>
  <w:endnote w:type="continuationSeparator" w:id="0">
    <w:p w14:paraId="4DCB72C7" w14:textId="77777777" w:rsidR="00946B85" w:rsidRDefault="00946B85" w:rsidP="00B431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rTimes">
    <w:charset w:val="00"/>
    <w:family w:val="auto"/>
    <w:pitch w:val="default"/>
  </w:font>
  <w:font w:name="Microsoft Sans Serif">
    <w:panose1 w:val="020B0604020202020204"/>
    <w:charset w:val="00"/>
    <w:family w:val="swiss"/>
    <w:pitch w:val="variable"/>
    <w:sig w:usb0="E5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99C8C8D" w14:textId="77777777" w:rsidR="00946B85" w:rsidRDefault="00946B85" w:rsidP="00B43113">
      <w:r>
        <w:separator/>
      </w:r>
    </w:p>
  </w:footnote>
  <w:footnote w:type="continuationSeparator" w:id="0">
    <w:p w14:paraId="0F635260" w14:textId="77777777" w:rsidR="00946B85" w:rsidRDefault="00946B85" w:rsidP="00B43113">
      <w:r>
        <w:continuationSeparator/>
      </w:r>
    </w:p>
  </w:footnote>
  <w:footnote w:id="1">
    <w:p w14:paraId="0094A75C" w14:textId="47FE83A9" w:rsidR="001A1387" w:rsidRDefault="001A1387" w:rsidP="0088370D">
      <w:pPr>
        <w:pStyle w:val="FootnoteText"/>
        <w:spacing w:line="276" w:lineRule="auto"/>
        <w:jc w:val="both"/>
        <w:rPr>
          <w:rFonts w:ascii="Bookman Old Style" w:hAnsi="Bookman Old Style" w:cs="Arial"/>
          <w:sz w:val="22"/>
          <w:szCs w:val="22"/>
          <w:lang w:val="el-GR"/>
        </w:rPr>
      </w:pPr>
      <w:r w:rsidRPr="0088370D">
        <w:rPr>
          <w:rStyle w:val="FootnoteReference"/>
          <w:rFonts w:ascii="Bookman Old Style" w:hAnsi="Bookman Old Style"/>
          <w:sz w:val="22"/>
          <w:szCs w:val="22"/>
        </w:rPr>
        <w:footnoteRef/>
      </w:r>
      <w:r w:rsidRPr="0088370D">
        <w:rPr>
          <w:rFonts w:ascii="Bookman Old Style" w:hAnsi="Bookman Old Style"/>
          <w:sz w:val="22"/>
          <w:szCs w:val="22"/>
          <w:lang w:val="el-GR"/>
        </w:rPr>
        <w:t xml:space="preserve"> Δέστε </w:t>
      </w:r>
      <w:r w:rsidRPr="0088370D">
        <w:rPr>
          <w:rFonts w:ascii="Bookman Old Style" w:hAnsi="Bookman Old Style"/>
          <w:b/>
          <w:bCs/>
          <w:i/>
          <w:iCs/>
          <w:sz w:val="22"/>
          <w:szCs w:val="22"/>
          <w:lang w:val="el-GR"/>
        </w:rPr>
        <w:t>Άρθρο 24</w:t>
      </w:r>
      <w:r w:rsidRPr="0088370D">
        <w:rPr>
          <w:rFonts w:ascii="Bookman Old Style" w:hAnsi="Bookman Old Style"/>
          <w:sz w:val="22"/>
          <w:szCs w:val="22"/>
          <w:lang w:val="el-GR"/>
        </w:rPr>
        <w:t xml:space="preserve"> και </w:t>
      </w:r>
      <w:r w:rsidRPr="0088370D">
        <w:rPr>
          <w:rFonts w:ascii="Bookman Old Style" w:hAnsi="Bookman Old Style"/>
          <w:b/>
          <w:bCs/>
          <w:i/>
          <w:iCs/>
          <w:sz w:val="22"/>
          <w:szCs w:val="22"/>
          <w:lang w:val="el-GR"/>
        </w:rPr>
        <w:t>Άρθρο 25</w:t>
      </w:r>
      <w:r w:rsidR="0088370D" w:rsidRPr="0088370D">
        <w:rPr>
          <w:rFonts w:ascii="Bookman Old Style" w:hAnsi="Bookman Old Style"/>
          <w:b/>
          <w:bCs/>
          <w:i/>
          <w:iCs/>
          <w:sz w:val="22"/>
          <w:szCs w:val="22"/>
          <w:lang w:val="el-GR"/>
        </w:rPr>
        <w:t>(1)</w:t>
      </w:r>
      <w:r w:rsidRPr="0088370D">
        <w:rPr>
          <w:rFonts w:ascii="Bookman Old Style" w:hAnsi="Bookman Old Style"/>
          <w:sz w:val="22"/>
          <w:szCs w:val="22"/>
          <w:lang w:val="el-GR"/>
        </w:rPr>
        <w:t xml:space="preserve"> του </w:t>
      </w:r>
      <w:r w:rsidRPr="0088370D">
        <w:rPr>
          <w:rFonts w:ascii="Bookman Old Style" w:hAnsi="Bookman Old Style"/>
          <w:b/>
          <w:bCs/>
          <w:i/>
          <w:iCs/>
          <w:sz w:val="22"/>
          <w:szCs w:val="22"/>
          <w:lang w:val="el-GR"/>
        </w:rPr>
        <w:t xml:space="preserve">Ν. </w:t>
      </w:r>
      <w:r w:rsidRPr="0088370D">
        <w:rPr>
          <w:rFonts w:ascii="Bookman Old Style" w:hAnsi="Bookman Old Style" w:cs="Arial"/>
          <w:b/>
          <w:bCs/>
          <w:i/>
          <w:iCs/>
          <w:sz w:val="22"/>
          <w:szCs w:val="22"/>
          <w:lang w:val="el-GR"/>
        </w:rPr>
        <w:t>92(Ι)/1996</w:t>
      </w:r>
      <w:r w:rsidRPr="0088370D">
        <w:rPr>
          <w:rFonts w:ascii="Bookman Old Style" w:hAnsi="Bookman Old Style" w:cs="Arial"/>
          <w:sz w:val="22"/>
          <w:szCs w:val="22"/>
          <w:lang w:val="el-GR"/>
        </w:rPr>
        <w:t>:</w:t>
      </w:r>
    </w:p>
    <w:p w14:paraId="55EEE1CA" w14:textId="77777777" w:rsidR="0088370D" w:rsidRPr="0088370D" w:rsidRDefault="0088370D" w:rsidP="0088370D">
      <w:pPr>
        <w:pStyle w:val="FootnoteText"/>
        <w:spacing w:line="276" w:lineRule="auto"/>
        <w:jc w:val="both"/>
        <w:rPr>
          <w:rFonts w:ascii="Bookman Old Style" w:hAnsi="Bookman Old Style" w:cs="Arial"/>
          <w:sz w:val="22"/>
          <w:szCs w:val="22"/>
          <w:lang w:val="el-GR"/>
        </w:rPr>
      </w:pPr>
    </w:p>
    <w:p w14:paraId="2807BAD8" w14:textId="5FD34FA7" w:rsidR="001A1387" w:rsidRPr="0088370D" w:rsidRDefault="001A1387" w:rsidP="0088370D">
      <w:pPr>
        <w:pStyle w:val="FootnoteText"/>
        <w:spacing w:line="276" w:lineRule="auto"/>
        <w:jc w:val="both"/>
        <w:rPr>
          <w:rFonts w:ascii="Bookman Old Style" w:hAnsi="Bookman Old Style"/>
          <w:i/>
          <w:iCs/>
          <w:sz w:val="22"/>
          <w:szCs w:val="22"/>
          <w:lang w:val="el-GR"/>
        </w:rPr>
      </w:pPr>
      <w:r w:rsidRPr="0088370D">
        <w:rPr>
          <w:rFonts w:ascii="Bookman Old Style" w:hAnsi="Bookman Old Style"/>
          <w:i/>
          <w:iCs/>
          <w:sz w:val="22"/>
          <w:szCs w:val="22"/>
          <w:lang w:val="el-GR"/>
        </w:rPr>
        <w:t>24.</w:t>
      </w:r>
      <w:r w:rsidR="0088370D" w:rsidRPr="0088370D">
        <w:rPr>
          <w:rFonts w:ascii="Bookman Old Style" w:hAnsi="Bookman Old Style"/>
          <w:i/>
          <w:iCs/>
          <w:sz w:val="22"/>
          <w:szCs w:val="22"/>
          <w:lang w:val="el-GR"/>
        </w:rPr>
        <w:t xml:space="preserve"> </w:t>
      </w:r>
      <w:r w:rsidRPr="0088370D">
        <w:rPr>
          <w:rFonts w:ascii="Bookman Old Style" w:hAnsi="Bookman Old Style"/>
          <w:i/>
          <w:iCs/>
          <w:sz w:val="22"/>
          <w:szCs w:val="22"/>
          <w:lang w:val="el-GR"/>
        </w:rPr>
        <w:t>Εάν κατά την πρόσβαση, επιθεώρηση και λήψη καταγεγραμμένου περιεχομένου ιδιωτικής επικοινωνίας που λαμβάνει χώρα σύμφωνα με εξουσιοδότηση ή έγκριση, κατόπιν δικαστικού εντάλματος που εκδίδεται δυνάμει των διατάξεων των άρθρων 21, 22 και 23, λαμβάνεται ιδιωτική επικοινωνία, η οποία σχετίζεται με άλλο αδίκημα από αυτό που περιγράφεται στο δικαστικό ένταλμα, το περιεχόμενο της επικοινωνίας αυτής θεωρείται ότι λήφθηκε, σύμφωνα με τις διατάξεις του παρόντος Νόμου, νοουμένου ότι υποβάλλεται, το συντομότερο δυνατό, συμπληρωματική αίτηση δυνάμει των διατάξεων των άρθρων 21, 22 και 23 για έκδοση δικαστικού εντάλματος, που να εγκρίνει την πρόσβαση, επιθεώρηση και λήψη του καταγεγραμμένου περιεχομένου ιδιωτικής επικοινωνίας και εκδίδεται το σχετικό δικαστικό ένταλμα.</w:t>
      </w:r>
    </w:p>
    <w:p w14:paraId="173B7A66" w14:textId="77777777" w:rsidR="0088370D" w:rsidRPr="0088370D" w:rsidRDefault="0088370D" w:rsidP="0088370D">
      <w:pPr>
        <w:pStyle w:val="FootnoteText"/>
        <w:spacing w:line="276" w:lineRule="auto"/>
        <w:jc w:val="both"/>
        <w:rPr>
          <w:rFonts w:ascii="Bookman Old Style" w:hAnsi="Bookman Old Style"/>
          <w:i/>
          <w:iCs/>
          <w:sz w:val="22"/>
          <w:szCs w:val="22"/>
          <w:lang w:val="el-GR"/>
        </w:rPr>
      </w:pPr>
    </w:p>
    <w:p w14:paraId="3315C5A6" w14:textId="66508C1B" w:rsidR="0088370D" w:rsidRPr="0088370D" w:rsidRDefault="0088370D" w:rsidP="0088370D">
      <w:pPr>
        <w:pStyle w:val="FootnoteText"/>
        <w:spacing w:line="276" w:lineRule="auto"/>
        <w:jc w:val="both"/>
        <w:rPr>
          <w:i/>
          <w:iCs/>
          <w:lang w:val="el-GR"/>
        </w:rPr>
      </w:pPr>
      <w:r w:rsidRPr="0088370D">
        <w:rPr>
          <w:rFonts w:ascii="Bookman Old Style" w:hAnsi="Bookman Old Style"/>
          <w:i/>
          <w:iCs/>
          <w:sz w:val="22"/>
          <w:szCs w:val="22"/>
          <w:lang w:val="el-GR"/>
        </w:rPr>
        <w:t>25.(1) Όταν διαπιστωθεί, με τη σύμφωνη γνώμη του Γενικού Εισαγγελέα της Δημοκρατίας, ότι το περιεχόμενο ιδιωτικής επικοινωνίας, το οποίο έχει ληφθεί βάσει δικαστικού εντάλματος, όπως καθορίζεται στα άρθρα 21, 22 και 23, δεν συνδέεται με τη διάπραξη του αδικήματος ή τον κίνδυνο για την ασφάλεια της Δημοκρατίας, για τα οποία έχει εκδοθεί το ένταλμα, οποιοδήποτε έγγραφο, συσκευή ή αντικείμενο επί του οποίου βρίσκεται καταγεγραμμένο το εν λόγω περιεχόμενο ιδιωτικής επικοινωνίας, επιστρέφεται στο πρόσωπο, στην κατοχή του οποίου βρισκόταν όταν παραλήφθηκε και οποιοδήποτε αντίγραφο του περιεχομένου της ιδιωτικής επικοινωνίας το οποίο αναπαράχθηκε καταστρέφεται</w:t>
      </w:r>
      <w:r w:rsidRPr="0088370D">
        <w:rPr>
          <w:i/>
          <w:iCs/>
          <w:lang w:val="el-GR"/>
        </w:rPr>
        <w:t>.</w:t>
      </w:r>
    </w:p>
  </w:footnote>
  <w:footnote w:id="2">
    <w:p w14:paraId="09EC74E3" w14:textId="421D0161" w:rsidR="00F36267" w:rsidRPr="00F36267" w:rsidRDefault="00F36267" w:rsidP="00F36267">
      <w:pPr>
        <w:pStyle w:val="FootnoteText"/>
        <w:spacing w:line="276" w:lineRule="auto"/>
        <w:jc w:val="both"/>
        <w:rPr>
          <w:rFonts w:ascii="Bookman Old Style" w:hAnsi="Bookman Old Style"/>
          <w:sz w:val="22"/>
          <w:szCs w:val="22"/>
          <w:lang w:val="el-GR"/>
        </w:rPr>
      </w:pPr>
      <w:r w:rsidRPr="00F36267">
        <w:rPr>
          <w:rStyle w:val="FootnoteReference"/>
          <w:rFonts w:ascii="Bookman Old Style" w:hAnsi="Bookman Old Style"/>
          <w:sz w:val="22"/>
          <w:szCs w:val="22"/>
        </w:rPr>
        <w:footnoteRef/>
      </w:r>
      <w:r w:rsidRPr="00F36267">
        <w:rPr>
          <w:rFonts w:ascii="Bookman Old Style" w:hAnsi="Bookman Old Style"/>
          <w:sz w:val="22"/>
          <w:szCs w:val="22"/>
          <w:lang w:val="el-GR"/>
        </w:rPr>
        <w:t xml:space="preserve"> Δέστε το Σύγγραμμα </w:t>
      </w:r>
      <w:r w:rsidRPr="00717CEE">
        <w:rPr>
          <w:rFonts w:ascii="Bookman Old Style" w:hAnsi="Bookman Old Style"/>
          <w:i/>
          <w:iCs/>
          <w:sz w:val="22"/>
          <w:szCs w:val="22"/>
          <w:lang w:val="el-GR"/>
        </w:rPr>
        <w:t>Τ. Ηλιάδης &amp; Ν.Γ. Σάντης, «Το Δίκαιο της Απόδειξης, Δικονομικές και Ουσιαστικές Πτυχές», 2014</w:t>
      </w:r>
      <w:r w:rsidRPr="00F36267">
        <w:rPr>
          <w:rFonts w:ascii="Bookman Old Style" w:hAnsi="Bookman Old Style"/>
          <w:sz w:val="22"/>
          <w:szCs w:val="22"/>
          <w:lang w:val="el-GR"/>
        </w:rPr>
        <w:t xml:space="preserve">, σελ.126 και την υπόθεση </w:t>
      </w:r>
      <w:r w:rsidRPr="00F36267">
        <w:rPr>
          <w:rFonts w:ascii="Bookman Old Style" w:hAnsi="Bookman Old Style"/>
          <w:b/>
          <w:bCs/>
          <w:i/>
          <w:iCs/>
          <w:sz w:val="22"/>
          <w:szCs w:val="22"/>
          <w:lang w:val="el-GR"/>
        </w:rPr>
        <w:t xml:space="preserve">Κωνσταντίνου </w:t>
      </w:r>
      <w:r w:rsidRPr="00F36267">
        <w:rPr>
          <w:rFonts w:ascii="Bookman Old Style" w:hAnsi="Bookman Old Style"/>
          <w:b/>
          <w:bCs/>
          <w:i/>
          <w:iCs/>
          <w:sz w:val="22"/>
          <w:szCs w:val="22"/>
        </w:rPr>
        <w:t>v</w:t>
      </w:r>
      <w:r w:rsidRPr="00F36267">
        <w:rPr>
          <w:rFonts w:ascii="Bookman Old Style" w:hAnsi="Bookman Old Style"/>
          <w:b/>
          <w:bCs/>
          <w:i/>
          <w:iCs/>
          <w:sz w:val="22"/>
          <w:szCs w:val="22"/>
          <w:lang w:val="el-GR"/>
        </w:rPr>
        <w:t>. Δημοκρατίας (1997) 2 Α.Α.Δ. 255</w:t>
      </w:r>
      <w:r w:rsidRPr="00F36267">
        <w:rPr>
          <w:rFonts w:ascii="Bookman Old Style" w:hAnsi="Bookman Old Style"/>
          <w:sz w:val="22"/>
          <w:szCs w:val="22"/>
          <w:lang w:val="el-G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DCFB185" w14:textId="77777777" w:rsidR="00CF75E4" w:rsidRDefault="00CF75E4">
    <w:pPr>
      <w:pStyle w:val="Header"/>
      <w:jc w:val="center"/>
    </w:pPr>
    <w:r>
      <w:fldChar w:fldCharType="begin"/>
    </w:r>
    <w:r>
      <w:instrText xml:space="preserve"> PAGE   \* MERGEFORMAT </w:instrText>
    </w:r>
    <w:r>
      <w:fldChar w:fldCharType="separate"/>
    </w:r>
    <w:r w:rsidR="000056F6">
      <w:rPr>
        <w:noProof/>
      </w:rPr>
      <w:t>2</w:t>
    </w:r>
    <w:r>
      <w:fldChar w:fldCharType="end"/>
    </w:r>
  </w:p>
  <w:p w14:paraId="53DA31ED" w14:textId="77777777" w:rsidR="00CF75E4" w:rsidRDefault="00CF75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CD1D31"/>
    <w:multiLevelType w:val="hybridMultilevel"/>
    <w:tmpl w:val="17C68358"/>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 w15:restartNumberingAfterBreak="0">
    <w:nsid w:val="11BE573F"/>
    <w:multiLevelType w:val="hybridMultilevel"/>
    <w:tmpl w:val="C6543FA6"/>
    <w:lvl w:ilvl="0" w:tplc="F224E8C8">
      <w:start w:val="30"/>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14DF67E6"/>
    <w:multiLevelType w:val="hybridMultilevel"/>
    <w:tmpl w:val="B4ACC148"/>
    <w:lvl w:ilvl="0" w:tplc="2E107A0C">
      <w:start w:val="1"/>
      <w:numFmt w:val="decimal"/>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3" w15:restartNumberingAfterBreak="0">
    <w:nsid w:val="153B3655"/>
    <w:multiLevelType w:val="hybridMultilevel"/>
    <w:tmpl w:val="B8E8490E"/>
    <w:lvl w:ilvl="0" w:tplc="18EEA26C">
      <w:start w:val="1"/>
      <w:numFmt w:val="decimal"/>
      <w:lvlText w:val="%1."/>
      <w:lvlJc w:val="left"/>
      <w:pPr>
        <w:ind w:left="1275" w:hanging="360"/>
      </w:pPr>
      <w:rPr>
        <w:rFonts w:hint="default"/>
      </w:rPr>
    </w:lvl>
    <w:lvl w:ilvl="1" w:tplc="04090019" w:tentative="1">
      <w:start w:val="1"/>
      <w:numFmt w:val="lowerLetter"/>
      <w:lvlText w:val="%2."/>
      <w:lvlJc w:val="left"/>
      <w:pPr>
        <w:ind w:left="1995" w:hanging="360"/>
      </w:pPr>
    </w:lvl>
    <w:lvl w:ilvl="2" w:tplc="0409001B" w:tentative="1">
      <w:start w:val="1"/>
      <w:numFmt w:val="lowerRoman"/>
      <w:lvlText w:val="%3."/>
      <w:lvlJc w:val="right"/>
      <w:pPr>
        <w:ind w:left="2715" w:hanging="180"/>
      </w:pPr>
    </w:lvl>
    <w:lvl w:ilvl="3" w:tplc="0409000F" w:tentative="1">
      <w:start w:val="1"/>
      <w:numFmt w:val="decimal"/>
      <w:lvlText w:val="%4."/>
      <w:lvlJc w:val="left"/>
      <w:pPr>
        <w:ind w:left="3435" w:hanging="360"/>
      </w:pPr>
    </w:lvl>
    <w:lvl w:ilvl="4" w:tplc="04090019" w:tentative="1">
      <w:start w:val="1"/>
      <w:numFmt w:val="lowerLetter"/>
      <w:lvlText w:val="%5."/>
      <w:lvlJc w:val="left"/>
      <w:pPr>
        <w:ind w:left="4155" w:hanging="360"/>
      </w:pPr>
    </w:lvl>
    <w:lvl w:ilvl="5" w:tplc="0409001B" w:tentative="1">
      <w:start w:val="1"/>
      <w:numFmt w:val="lowerRoman"/>
      <w:lvlText w:val="%6."/>
      <w:lvlJc w:val="right"/>
      <w:pPr>
        <w:ind w:left="4875" w:hanging="180"/>
      </w:pPr>
    </w:lvl>
    <w:lvl w:ilvl="6" w:tplc="0409000F" w:tentative="1">
      <w:start w:val="1"/>
      <w:numFmt w:val="decimal"/>
      <w:lvlText w:val="%7."/>
      <w:lvlJc w:val="left"/>
      <w:pPr>
        <w:ind w:left="5595" w:hanging="360"/>
      </w:pPr>
    </w:lvl>
    <w:lvl w:ilvl="7" w:tplc="04090019" w:tentative="1">
      <w:start w:val="1"/>
      <w:numFmt w:val="lowerLetter"/>
      <w:lvlText w:val="%8."/>
      <w:lvlJc w:val="left"/>
      <w:pPr>
        <w:ind w:left="6315" w:hanging="360"/>
      </w:pPr>
    </w:lvl>
    <w:lvl w:ilvl="8" w:tplc="0409001B" w:tentative="1">
      <w:start w:val="1"/>
      <w:numFmt w:val="lowerRoman"/>
      <w:lvlText w:val="%9."/>
      <w:lvlJc w:val="right"/>
      <w:pPr>
        <w:ind w:left="7035" w:hanging="180"/>
      </w:pPr>
    </w:lvl>
  </w:abstractNum>
  <w:abstractNum w:abstractNumId="4" w15:restartNumberingAfterBreak="0">
    <w:nsid w:val="29F25753"/>
    <w:multiLevelType w:val="multilevel"/>
    <w:tmpl w:val="BC0248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C0756FA"/>
    <w:multiLevelType w:val="hybridMultilevel"/>
    <w:tmpl w:val="62E0B378"/>
    <w:lvl w:ilvl="0" w:tplc="3CE23B68">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3ABC6F85"/>
    <w:multiLevelType w:val="hybridMultilevel"/>
    <w:tmpl w:val="A5FC60CC"/>
    <w:lvl w:ilvl="0" w:tplc="70D036BE">
      <w:start w:val="1"/>
      <w:numFmt w:val="decimal"/>
      <w:lvlText w:val="%1."/>
      <w:lvlJc w:val="left"/>
      <w:pPr>
        <w:ind w:left="25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3C3E4D11"/>
    <w:multiLevelType w:val="multilevel"/>
    <w:tmpl w:val="A0FA07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ECF440E"/>
    <w:multiLevelType w:val="hybridMultilevel"/>
    <w:tmpl w:val="B4ACC148"/>
    <w:lvl w:ilvl="0" w:tplc="2E107A0C">
      <w:start w:val="1"/>
      <w:numFmt w:val="decimal"/>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9" w15:restartNumberingAfterBreak="0">
    <w:nsid w:val="52C47835"/>
    <w:multiLevelType w:val="hybridMultilevel"/>
    <w:tmpl w:val="CD1C31F6"/>
    <w:lvl w:ilvl="0" w:tplc="E312E74C">
      <w:start w:val="1"/>
      <w:numFmt w:val="decimal"/>
      <w:lvlText w:val="%1."/>
      <w:lvlJc w:val="left"/>
      <w:pPr>
        <w:ind w:left="1005" w:hanging="360"/>
      </w:pPr>
      <w:rPr>
        <w:rFonts w:hint="default"/>
      </w:rPr>
    </w:lvl>
    <w:lvl w:ilvl="1" w:tplc="04090019" w:tentative="1">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abstractNum w:abstractNumId="10" w15:restartNumberingAfterBreak="0">
    <w:nsid w:val="54700F5D"/>
    <w:multiLevelType w:val="hybridMultilevel"/>
    <w:tmpl w:val="70EA42E6"/>
    <w:lvl w:ilvl="0" w:tplc="477CD89C">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1" w15:restartNumberingAfterBreak="0">
    <w:nsid w:val="55707649"/>
    <w:multiLevelType w:val="hybridMultilevel"/>
    <w:tmpl w:val="A6E4FC16"/>
    <w:lvl w:ilvl="0" w:tplc="7062C630">
      <w:start w:val="1"/>
      <w:numFmt w:val="lowerRoman"/>
      <w:lvlText w:val="(%1)"/>
      <w:lvlJc w:val="left"/>
      <w:pPr>
        <w:tabs>
          <w:tab w:val="num" w:pos="1004"/>
        </w:tabs>
        <w:ind w:left="1004" w:hanging="72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12" w15:restartNumberingAfterBreak="0">
    <w:nsid w:val="6980104A"/>
    <w:multiLevelType w:val="multilevel"/>
    <w:tmpl w:val="2F0EAC94"/>
    <w:lvl w:ilvl="0">
      <w:start w:val="1"/>
      <w:numFmt w:val="decimal"/>
      <w:lvlText w:val="%1."/>
      <w:lvlJc w:val="left"/>
      <w:pPr>
        <w:ind w:left="1371" w:hanging="360"/>
      </w:pPr>
    </w:lvl>
    <w:lvl w:ilvl="1">
      <w:start w:val="1"/>
      <w:numFmt w:val="lowerLetter"/>
      <w:lvlText w:val="%2."/>
      <w:lvlJc w:val="left"/>
      <w:pPr>
        <w:ind w:left="2091" w:hanging="360"/>
      </w:pPr>
    </w:lvl>
    <w:lvl w:ilvl="2">
      <w:start w:val="1"/>
      <w:numFmt w:val="lowerRoman"/>
      <w:lvlText w:val="%3."/>
      <w:lvlJc w:val="right"/>
      <w:pPr>
        <w:ind w:left="2811" w:hanging="180"/>
      </w:pPr>
    </w:lvl>
    <w:lvl w:ilvl="3">
      <w:start w:val="1"/>
      <w:numFmt w:val="decimal"/>
      <w:lvlText w:val="%4."/>
      <w:lvlJc w:val="left"/>
      <w:pPr>
        <w:ind w:left="3531" w:hanging="360"/>
      </w:pPr>
    </w:lvl>
    <w:lvl w:ilvl="4">
      <w:start w:val="1"/>
      <w:numFmt w:val="lowerLetter"/>
      <w:lvlText w:val="%5."/>
      <w:lvlJc w:val="left"/>
      <w:pPr>
        <w:ind w:left="4251" w:hanging="360"/>
      </w:pPr>
    </w:lvl>
    <w:lvl w:ilvl="5">
      <w:start w:val="1"/>
      <w:numFmt w:val="lowerRoman"/>
      <w:lvlText w:val="%6."/>
      <w:lvlJc w:val="right"/>
      <w:pPr>
        <w:ind w:left="4971" w:hanging="180"/>
      </w:pPr>
    </w:lvl>
    <w:lvl w:ilvl="6">
      <w:start w:val="1"/>
      <w:numFmt w:val="decimal"/>
      <w:lvlText w:val="%7."/>
      <w:lvlJc w:val="left"/>
      <w:pPr>
        <w:ind w:left="5691" w:hanging="360"/>
      </w:pPr>
    </w:lvl>
    <w:lvl w:ilvl="7">
      <w:start w:val="1"/>
      <w:numFmt w:val="lowerLetter"/>
      <w:lvlText w:val="%8."/>
      <w:lvlJc w:val="left"/>
      <w:pPr>
        <w:ind w:left="6411" w:hanging="360"/>
      </w:pPr>
    </w:lvl>
    <w:lvl w:ilvl="8">
      <w:start w:val="1"/>
      <w:numFmt w:val="lowerRoman"/>
      <w:lvlText w:val="%9."/>
      <w:lvlJc w:val="right"/>
      <w:pPr>
        <w:ind w:left="7131" w:hanging="180"/>
      </w:pPr>
    </w:lvl>
  </w:abstractNum>
  <w:abstractNum w:abstractNumId="13" w15:restartNumberingAfterBreak="0">
    <w:nsid w:val="6B7958C7"/>
    <w:multiLevelType w:val="hybridMultilevel"/>
    <w:tmpl w:val="140435CC"/>
    <w:lvl w:ilvl="0" w:tplc="8D825CBC">
      <w:start w:val="1"/>
      <w:numFmt w:val="decimal"/>
      <w:lvlText w:val="%1."/>
      <w:lvlJc w:val="left"/>
      <w:pPr>
        <w:ind w:left="25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15:restartNumberingAfterBreak="0">
    <w:nsid w:val="6C501A01"/>
    <w:multiLevelType w:val="hybridMultilevel"/>
    <w:tmpl w:val="F55ECD3C"/>
    <w:lvl w:ilvl="0" w:tplc="7FEC0270">
      <w:start w:val="1"/>
      <w:numFmt w:val="lowerRoman"/>
      <w:lvlText w:val="(%1)"/>
      <w:lvlJc w:val="left"/>
      <w:pPr>
        <w:ind w:left="1439" w:hanging="720"/>
      </w:pPr>
      <w:rPr>
        <w:rFonts w:hint="default"/>
      </w:rPr>
    </w:lvl>
    <w:lvl w:ilvl="1" w:tplc="04090019" w:tentative="1">
      <w:start w:val="1"/>
      <w:numFmt w:val="lowerLetter"/>
      <w:lvlText w:val="%2."/>
      <w:lvlJc w:val="left"/>
      <w:pPr>
        <w:ind w:left="1799" w:hanging="360"/>
      </w:pPr>
    </w:lvl>
    <w:lvl w:ilvl="2" w:tplc="0409001B" w:tentative="1">
      <w:start w:val="1"/>
      <w:numFmt w:val="lowerRoman"/>
      <w:lvlText w:val="%3."/>
      <w:lvlJc w:val="right"/>
      <w:pPr>
        <w:ind w:left="2519" w:hanging="180"/>
      </w:pPr>
    </w:lvl>
    <w:lvl w:ilvl="3" w:tplc="0409000F" w:tentative="1">
      <w:start w:val="1"/>
      <w:numFmt w:val="decimal"/>
      <w:lvlText w:val="%4."/>
      <w:lvlJc w:val="left"/>
      <w:pPr>
        <w:ind w:left="3239" w:hanging="360"/>
      </w:pPr>
    </w:lvl>
    <w:lvl w:ilvl="4" w:tplc="04090019" w:tentative="1">
      <w:start w:val="1"/>
      <w:numFmt w:val="lowerLetter"/>
      <w:lvlText w:val="%5."/>
      <w:lvlJc w:val="left"/>
      <w:pPr>
        <w:ind w:left="3959" w:hanging="360"/>
      </w:pPr>
    </w:lvl>
    <w:lvl w:ilvl="5" w:tplc="0409001B" w:tentative="1">
      <w:start w:val="1"/>
      <w:numFmt w:val="lowerRoman"/>
      <w:lvlText w:val="%6."/>
      <w:lvlJc w:val="right"/>
      <w:pPr>
        <w:ind w:left="4679" w:hanging="180"/>
      </w:pPr>
    </w:lvl>
    <w:lvl w:ilvl="6" w:tplc="0409000F" w:tentative="1">
      <w:start w:val="1"/>
      <w:numFmt w:val="decimal"/>
      <w:lvlText w:val="%7."/>
      <w:lvlJc w:val="left"/>
      <w:pPr>
        <w:ind w:left="5399" w:hanging="360"/>
      </w:pPr>
    </w:lvl>
    <w:lvl w:ilvl="7" w:tplc="04090019" w:tentative="1">
      <w:start w:val="1"/>
      <w:numFmt w:val="lowerLetter"/>
      <w:lvlText w:val="%8."/>
      <w:lvlJc w:val="left"/>
      <w:pPr>
        <w:ind w:left="6119" w:hanging="360"/>
      </w:pPr>
    </w:lvl>
    <w:lvl w:ilvl="8" w:tplc="0409001B" w:tentative="1">
      <w:start w:val="1"/>
      <w:numFmt w:val="lowerRoman"/>
      <w:lvlText w:val="%9."/>
      <w:lvlJc w:val="right"/>
      <w:pPr>
        <w:ind w:left="6839" w:hanging="180"/>
      </w:pPr>
    </w:lvl>
  </w:abstractNum>
  <w:abstractNum w:abstractNumId="15" w15:restartNumberingAfterBreak="0">
    <w:nsid w:val="71B34065"/>
    <w:multiLevelType w:val="hybridMultilevel"/>
    <w:tmpl w:val="B4ACC148"/>
    <w:lvl w:ilvl="0" w:tplc="2E107A0C">
      <w:start w:val="1"/>
      <w:numFmt w:val="decimal"/>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6" w15:restartNumberingAfterBreak="0">
    <w:nsid w:val="731E2732"/>
    <w:multiLevelType w:val="hybridMultilevel"/>
    <w:tmpl w:val="5E72D1A6"/>
    <w:lvl w:ilvl="0" w:tplc="5B624B70">
      <w:numFmt w:val="bullet"/>
      <w:lvlText w:val="-"/>
      <w:lvlJc w:val="left"/>
      <w:pPr>
        <w:ind w:left="1527" w:hanging="360"/>
      </w:pPr>
      <w:rPr>
        <w:rFonts w:ascii="Arial" w:eastAsia="Times New Roman" w:hAnsi="Arial" w:cs="Arial" w:hint="default"/>
      </w:rPr>
    </w:lvl>
    <w:lvl w:ilvl="1" w:tplc="04090003" w:tentative="1">
      <w:start w:val="1"/>
      <w:numFmt w:val="bullet"/>
      <w:lvlText w:val="o"/>
      <w:lvlJc w:val="left"/>
      <w:pPr>
        <w:ind w:left="2247" w:hanging="360"/>
      </w:pPr>
      <w:rPr>
        <w:rFonts w:ascii="Courier New" w:hAnsi="Courier New" w:cs="Courier New" w:hint="default"/>
      </w:rPr>
    </w:lvl>
    <w:lvl w:ilvl="2" w:tplc="04090005" w:tentative="1">
      <w:start w:val="1"/>
      <w:numFmt w:val="bullet"/>
      <w:lvlText w:val=""/>
      <w:lvlJc w:val="left"/>
      <w:pPr>
        <w:ind w:left="2967" w:hanging="360"/>
      </w:pPr>
      <w:rPr>
        <w:rFonts w:ascii="Wingdings" w:hAnsi="Wingdings" w:hint="default"/>
      </w:rPr>
    </w:lvl>
    <w:lvl w:ilvl="3" w:tplc="04090001" w:tentative="1">
      <w:start w:val="1"/>
      <w:numFmt w:val="bullet"/>
      <w:lvlText w:val=""/>
      <w:lvlJc w:val="left"/>
      <w:pPr>
        <w:ind w:left="3687" w:hanging="360"/>
      </w:pPr>
      <w:rPr>
        <w:rFonts w:ascii="Symbol" w:hAnsi="Symbol" w:hint="default"/>
      </w:rPr>
    </w:lvl>
    <w:lvl w:ilvl="4" w:tplc="04090003" w:tentative="1">
      <w:start w:val="1"/>
      <w:numFmt w:val="bullet"/>
      <w:lvlText w:val="o"/>
      <w:lvlJc w:val="left"/>
      <w:pPr>
        <w:ind w:left="4407" w:hanging="360"/>
      </w:pPr>
      <w:rPr>
        <w:rFonts w:ascii="Courier New" w:hAnsi="Courier New" w:cs="Courier New" w:hint="default"/>
      </w:rPr>
    </w:lvl>
    <w:lvl w:ilvl="5" w:tplc="04090005" w:tentative="1">
      <w:start w:val="1"/>
      <w:numFmt w:val="bullet"/>
      <w:lvlText w:val=""/>
      <w:lvlJc w:val="left"/>
      <w:pPr>
        <w:ind w:left="5127" w:hanging="360"/>
      </w:pPr>
      <w:rPr>
        <w:rFonts w:ascii="Wingdings" w:hAnsi="Wingdings" w:hint="default"/>
      </w:rPr>
    </w:lvl>
    <w:lvl w:ilvl="6" w:tplc="04090001" w:tentative="1">
      <w:start w:val="1"/>
      <w:numFmt w:val="bullet"/>
      <w:lvlText w:val=""/>
      <w:lvlJc w:val="left"/>
      <w:pPr>
        <w:ind w:left="5847" w:hanging="360"/>
      </w:pPr>
      <w:rPr>
        <w:rFonts w:ascii="Symbol" w:hAnsi="Symbol" w:hint="default"/>
      </w:rPr>
    </w:lvl>
    <w:lvl w:ilvl="7" w:tplc="04090003" w:tentative="1">
      <w:start w:val="1"/>
      <w:numFmt w:val="bullet"/>
      <w:lvlText w:val="o"/>
      <w:lvlJc w:val="left"/>
      <w:pPr>
        <w:ind w:left="6567" w:hanging="360"/>
      </w:pPr>
      <w:rPr>
        <w:rFonts w:ascii="Courier New" w:hAnsi="Courier New" w:cs="Courier New" w:hint="default"/>
      </w:rPr>
    </w:lvl>
    <w:lvl w:ilvl="8" w:tplc="04090005" w:tentative="1">
      <w:start w:val="1"/>
      <w:numFmt w:val="bullet"/>
      <w:lvlText w:val=""/>
      <w:lvlJc w:val="left"/>
      <w:pPr>
        <w:ind w:left="7287" w:hanging="360"/>
      </w:pPr>
      <w:rPr>
        <w:rFonts w:ascii="Wingdings" w:hAnsi="Wingdings" w:hint="default"/>
      </w:rPr>
    </w:lvl>
  </w:abstractNum>
  <w:abstractNum w:abstractNumId="17" w15:restartNumberingAfterBreak="0">
    <w:nsid w:val="76CD5D40"/>
    <w:multiLevelType w:val="hybridMultilevel"/>
    <w:tmpl w:val="9500C15C"/>
    <w:lvl w:ilvl="0" w:tplc="23861330">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16cid:durableId="535430355">
    <w:abstractNumId w:val="11"/>
  </w:num>
  <w:num w:numId="2" w16cid:durableId="848954010">
    <w:abstractNumId w:val="14"/>
  </w:num>
  <w:num w:numId="3" w16cid:durableId="727411623">
    <w:abstractNumId w:val="16"/>
  </w:num>
  <w:num w:numId="4" w16cid:durableId="405952684">
    <w:abstractNumId w:val="4"/>
  </w:num>
  <w:num w:numId="5" w16cid:durableId="184012044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462695208">
    <w:abstractNumId w:val="10"/>
  </w:num>
  <w:num w:numId="7" w16cid:durableId="32467345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10245335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04969113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42096990">
    <w:abstractNumId w:val="3"/>
  </w:num>
  <w:num w:numId="11" w16cid:durableId="1351226656">
    <w:abstractNumId w:val="0"/>
  </w:num>
  <w:num w:numId="12" w16cid:durableId="2105564962">
    <w:abstractNumId w:val="9"/>
  </w:num>
  <w:num w:numId="13" w16cid:durableId="544297966">
    <w:abstractNumId w:val="15"/>
  </w:num>
  <w:num w:numId="14" w16cid:durableId="187646184">
    <w:abstractNumId w:val="2"/>
  </w:num>
  <w:num w:numId="15" w16cid:durableId="2134327973">
    <w:abstractNumId w:val="8"/>
  </w:num>
  <w:num w:numId="16" w16cid:durableId="1022976574">
    <w:abstractNumId w:val="17"/>
  </w:num>
  <w:num w:numId="17" w16cid:durableId="1875071202">
    <w:abstractNumId w:val="7"/>
  </w:num>
  <w:num w:numId="18" w16cid:durableId="69299676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6C55"/>
    <w:rsid w:val="00000B48"/>
    <w:rsid w:val="00000F1D"/>
    <w:rsid w:val="000056F6"/>
    <w:rsid w:val="00007318"/>
    <w:rsid w:val="0000790C"/>
    <w:rsid w:val="00020297"/>
    <w:rsid w:val="0002488E"/>
    <w:rsid w:val="000278F3"/>
    <w:rsid w:val="00032473"/>
    <w:rsid w:val="0003389A"/>
    <w:rsid w:val="000349B3"/>
    <w:rsid w:val="00035069"/>
    <w:rsid w:val="0003597D"/>
    <w:rsid w:val="00035EA5"/>
    <w:rsid w:val="00040D98"/>
    <w:rsid w:val="00042D4F"/>
    <w:rsid w:val="00043077"/>
    <w:rsid w:val="000437F7"/>
    <w:rsid w:val="00053E4D"/>
    <w:rsid w:val="000576DF"/>
    <w:rsid w:val="00057AE4"/>
    <w:rsid w:val="00057B74"/>
    <w:rsid w:val="00060789"/>
    <w:rsid w:val="00061084"/>
    <w:rsid w:val="0006133B"/>
    <w:rsid w:val="000613C5"/>
    <w:rsid w:val="00062D2B"/>
    <w:rsid w:val="00063486"/>
    <w:rsid w:val="00076727"/>
    <w:rsid w:val="00080CBF"/>
    <w:rsid w:val="00083841"/>
    <w:rsid w:val="0008462C"/>
    <w:rsid w:val="00084698"/>
    <w:rsid w:val="00091204"/>
    <w:rsid w:val="00091BC2"/>
    <w:rsid w:val="00093424"/>
    <w:rsid w:val="0009358C"/>
    <w:rsid w:val="000A22CD"/>
    <w:rsid w:val="000A2E70"/>
    <w:rsid w:val="000A685B"/>
    <w:rsid w:val="000A7342"/>
    <w:rsid w:val="000B53F3"/>
    <w:rsid w:val="000B55AF"/>
    <w:rsid w:val="000B565F"/>
    <w:rsid w:val="000B628C"/>
    <w:rsid w:val="000C4171"/>
    <w:rsid w:val="000C432E"/>
    <w:rsid w:val="000D1294"/>
    <w:rsid w:val="000D512B"/>
    <w:rsid w:val="000D5E56"/>
    <w:rsid w:val="000D763E"/>
    <w:rsid w:val="000E360F"/>
    <w:rsid w:val="000E4325"/>
    <w:rsid w:val="000E77E5"/>
    <w:rsid w:val="000F0639"/>
    <w:rsid w:val="00101DC5"/>
    <w:rsid w:val="001020C0"/>
    <w:rsid w:val="00105780"/>
    <w:rsid w:val="001070CB"/>
    <w:rsid w:val="0011210C"/>
    <w:rsid w:val="00113285"/>
    <w:rsid w:val="001133BB"/>
    <w:rsid w:val="00117C36"/>
    <w:rsid w:val="00120A8A"/>
    <w:rsid w:val="00121049"/>
    <w:rsid w:val="0012137B"/>
    <w:rsid w:val="001300E1"/>
    <w:rsid w:val="0013153E"/>
    <w:rsid w:val="0013347A"/>
    <w:rsid w:val="0013436B"/>
    <w:rsid w:val="00134644"/>
    <w:rsid w:val="00136F62"/>
    <w:rsid w:val="00137315"/>
    <w:rsid w:val="00137D46"/>
    <w:rsid w:val="00142764"/>
    <w:rsid w:val="00144D59"/>
    <w:rsid w:val="001478D9"/>
    <w:rsid w:val="001505E5"/>
    <w:rsid w:val="001506D1"/>
    <w:rsid w:val="00152626"/>
    <w:rsid w:val="0015347A"/>
    <w:rsid w:val="0016041B"/>
    <w:rsid w:val="001607AD"/>
    <w:rsid w:val="00160B11"/>
    <w:rsid w:val="00162A0D"/>
    <w:rsid w:val="00162B88"/>
    <w:rsid w:val="00171E30"/>
    <w:rsid w:val="001725B7"/>
    <w:rsid w:val="0017450C"/>
    <w:rsid w:val="0017483E"/>
    <w:rsid w:val="00180B78"/>
    <w:rsid w:val="0018425D"/>
    <w:rsid w:val="00190856"/>
    <w:rsid w:val="00191456"/>
    <w:rsid w:val="00192F15"/>
    <w:rsid w:val="001950A7"/>
    <w:rsid w:val="0019677F"/>
    <w:rsid w:val="00197D26"/>
    <w:rsid w:val="001A0D7E"/>
    <w:rsid w:val="001A104D"/>
    <w:rsid w:val="001A1387"/>
    <w:rsid w:val="001A1A4B"/>
    <w:rsid w:val="001B23EF"/>
    <w:rsid w:val="001B3040"/>
    <w:rsid w:val="001B4997"/>
    <w:rsid w:val="001C3A40"/>
    <w:rsid w:val="001C5EF1"/>
    <w:rsid w:val="001D0165"/>
    <w:rsid w:val="001E05AA"/>
    <w:rsid w:val="001E09D1"/>
    <w:rsid w:val="001E0A02"/>
    <w:rsid w:val="001E2109"/>
    <w:rsid w:val="001E3717"/>
    <w:rsid w:val="001E3F2C"/>
    <w:rsid w:val="001E47BA"/>
    <w:rsid w:val="001E7A53"/>
    <w:rsid w:val="001E7E64"/>
    <w:rsid w:val="001F2D57"/>
    <w:rsid w:val="001F3DAA"/>
    <w:rsid w:val="001F6193"/>
    <w:rsid w:val="001F62D3"/>
    <w:rsid w:val="00201878"/>
    <w:rsid w:val="0020248C"/>
    <w:rsid w:val="00202A2C"/>
    <w:rsid w:val="00203D28"/>
    <w:rsid w:val="002107FF"/>
    <w:rsid w:val="00211B73"/>
    <w:rsid w:val="002121AF"/>
    <w:rsid w:val="00212C84"/>
    <w:rsid w:val="00216C55"/>
    <w:rsid w:val="00221854"/>
    <w:rsid w:val="0023057B"/>
    <w:rsid w:val="00237318"/>
    <w:rsid w:val="002375E9"/>
    <w:rsid w:val="00237D37"/>
    <w:rsid w:val="0024555A"/>
    <w:rsid w:val="00246242"/>
    <w:rsid w:val="00247D45"/>
    <w:rsid w:val="002511DC"/>
    <w:rsid w:val="002521E4"/>
    <w:rsid w:val="00252595"/>
    <w:rsid w:val="002534A2"/>
    <w:rsid w:val="002537E5"/>
    <w:rsid w:val="00253890"/>
    <w:rsid w:val="00254DD1"/>
    <w:rsid w:val="00254EE9"/>
    <w:rsid w:val="002563C2"/>
    <w:rsid w:val="0026236A"/>
    <w:rsid w:val="002627BF"/>
    <w:rsid w:val="002644B6"/>
    <w:rsid w:val="00265A85"/>
    <w:rsid w:val="00266B1B"/>
    <w:rsid w:val="00267A23"/>
    <w:rsid w:val="00267CEF"/>
    <w:rsid w:val="0027030F"/>
    <w:rsid w:val="00271495"/>
    <w:rsid w:val="00276F88"/>
    <w:rsid w:val="002822E0"/>
    <w:rsid w:val="002842C3"/>
    <w:rsid w:val="00284861"/>
    <w:rsid w:val="00284DCF"/>
    <w:rsid w:val="00285F60"/>
    <w:rsid w:val="00286460"/>
    <w:rsid w:val="00287351"/>
    <w:rsid w:val="00287F36"/>
    <w:rsid w:val="00291651"/>
    <w:rsid w:val="00295602"/>
    <w:rsid w:val="00296605"/>
    <w:rsid w:val="002A4ED5"/>
    <w:rsid w:val="002A631C"/>
    <w:rsid w:val="002A67AF"/>
    <w:rsid w:val="002B0A78"/>
    <w:rsid w:val="002B2638"/>
    <w:rsid w:val="002B2C51"/>
    <w:rsid w:val="002B66E6"/>
    <w:rsid w:val="002B74E9"/>
    <w:rsid w:val="002C0A93"/>
    <w:rsid w:val="002C16BD"/>
    <w:rsid w:val="002C3BDD"/>
    <w:rsid w:val="002C3E1F"/>
    <w:rsid w:val="002C7F3B"/>
    <w:rsid w:val="002D08D5"/>
    <w:rsid w:val="002D128B"/>
    <w:rsid w:val="002D1618"/>
    <w:rsid w:val="002D16C8"/>
    <w:rsid w:val="002D2DF4"/>
    <w:rsid w:val="002D3C1D"/>
    <w:rsid w:val="002D4F96"/>
    <w:rsid w:val="002D6034"/>
    <w:rsid w:val="002D7BF1"/>
    <w:rsid w:val="002E4F31"/>
    <w:rsid w:val="002E5CA3"/>
    <w:rsid w:val="002E73C6"/>
    <w:rsid w:val="002E7735"/>
    <w:rsid w:val="002F671E"/>
    <w:rsid w:val="00302035"/>
    <w:rsid w:val="0030216D"/>
    <w:rsid w:val="003031D4"/>
    <w:rsid w:val="003103D8"/>
    <w:rsid w:val="00316BE5"/>
    <w:rsid w:val="00316C5D"/>
    <w:rsid w:val="003231CA"/>
    <w:rsid w:val="00323BFF"/>
    <w:rsid w:val="0032535A"/>
    <w:rsid w:val="00327D19"/>
    <w:rsid w:val="00333E33"/>
    <w:rsid w:val="00335FEF"/>
    <w:rsid w:val="003365EF"/>
    <w:rsid w:val="00337703"/>
    <w:rsid w:val="00337BC4"/>
    <w:rsid w:val="00341CDB"/>
    <w:rsid w:val="003472C7"/>
    <w:rsid w:val="0035239B"/>
    <w:rsid w:val="0035313C"/>
    <w:rsid w:val="003561FF"/>
    <w:rsid w:val="003605F5"/>
    <w:rsid w:val="00362EB6"/>
    <w:rsid w:val="0036532E"/>
    <w:rsid w:val="0037086D"/>
    <w:rsid w:val="00374EB1"/>
    <w:rsid w:val="00380609"/>
    <w:rsid w:val="00381D97"/>
    <w:rsid w:val="00386E2D"/>
    <w:rsid w:val="00394B2D"/>
    <w:rsid w:val="00395154"/>
    <w:rsid w:val="00396A1E"/>
    <w:rsid w:val="00397556"/>
    <w:rsid w:val="003A0304"/>
    <w:rsid w:val="003A158D"/>
    <w:rsid w:val="003A1852"/>
    <w:rsid w:val="003A3BA5"/>
    <w:rsid w:val="003A7ABB"/>
    <w:rsid w:val="003B5736"/>
    <w:rsid w:val="003C0033"/>
    <w:rsid w:val="003C2E3E"/>
    <w:rsid w:val="003D3D98"/>
    <w:rsid w:val="003D7822"/>
    <w:rsid w:val="003E1C8C"/>
    <w:rsid w:val="003E1F2E"/>
    <w:rsid w:val="003E3157"/>
    <w:rsid w:val="003E4384"/>
    <w:rsid w:val="003E50AF"/>
    <w:rsid w:val="003E67F9"/>
    <w:rsid w:val="003F0741"/>
    <w:rsid w:val="003F0FB1"/>
    <w:rsid w:val="003F158B"/>
    <w:rsid w:val="003F1871"/>
    <w:rsid w:val="003F18B0"/>
    <w:rsid w:val="003F287C"/>
    <w:rsid w:val="003F3975"/>
    <w:rsid w:val="003F479E"/>
    <w:rsid w:val="003F5BE2"/>
    <w:rsid w:val="003F5C16"/>
    <w:rsid w:val="003F72C8"/>
    <w:rsid w:val="00401B3C"/>
    <w:rsid w:val="00402401"/>
    <w:rsid w:val="00403528"/>
    <w:rsid w:val="004038F0"/>
    <w:rsid w:val="004076A7"/>
    <w:rsid w:val="00411F7A"/>
    <w:rsid w:val="0041369F"/>
    <w:rsid w:val="00414DEA"/>
    <w:rsid w:val="004162C4"/>
    <w:rsid w:val="00416CD0"/>
    <w:rsid w:val="004211E7"/>
    <w:rsid w:val="00422ADE"/>
    <w:rsid w:val="0042759C"/>
    <w:rsid w:val="00431E73"/>
    <w:rsid w:val="0043261E"/>
    <w:rsid w:val="004330D1"/>
    <w:rsid w:val="004338D4"/>
    <w:rsid w:val="004351C9"/>
    <w:rsid w:val="00436662"/>
    <w:rsid w:val="00437BEE"/>
    <w:rsid w:val="00441547"/>
    <w:rsid w:val="00441B12"/>
    <w:rsid w:val="0044590A"/>
    <w:rsid w:val="004461C3"/>
    <w:rsid w:val="00446D53"/>
    <w:rsid w:val="00447368"/>
    <w:rsid w:val="0044758F"/>
    <w:rsid w:val="004501F2"/>
    <w:rsid w:val="004550BD"/>
    <w:rsid w:val="00457CBF"/>
    <w:rsid w:val="00464C34"/>
    <w:rsid w:val="004659AE"/>
    <w:rsid w:val="0047079A"/>
    <w:rsid w:val="004727E2"/>
    <w:rsid w:val="00475C42"/>
    <w:rsid w:val="00475EE3"/>
    <w:rsid w:val="0048095C"/>
    <w:rsid w:val="00481C30"/>
    <w:rsid w:val="00482618"/>
    <w:rsid w:val="00484799"/>
    <w:rsid w:val="0048527C"/>
    <w:rsid w:val="00486CB3"/>
    <w:rsid w:val="00492802"/>
    <w:rsid w:val="00493030"/>
    <w:rsid w:val="00497E25"/>
    <w:rsid w:val="004A086C"/>
    <w:rsid w:val="004A5FFA"/>
    <w:rsid w:val="004B3154"/>
    <w:rsid w:val="004B795E"/>
    <w:rsid w:val="004C29CA"/>
    <w:rsid w:val="004C2E05"/>
    <w:rsid w:val="004C6244"/>
    <w:rsid w:val="004D25BD"/>
    <w:rsid w:val="004D5B88"/>
    <w:rsid w:val="004E3097"/>
    <w:rsid w:val="004E639D"/>
    <w:rsid w:val="004E73B5"/>
    <w:rsid w:val="004E7674"/>
    <w:rsid w:val="004F180C"/>
    <w:rsid w:val="004F3B1F"/>
    <w:rsid w:val="004F4363"/>
    <w:rsid w:val="004F4D75"/>
    <w:rsid w:val="004F5616"/>
    <w:rsid w:val="004F7385"/>
    <w:rsid w:val="004F79BA"/>
    <w:rsid w:val="0050070A"/>
    <w:rsid w:val="005023E1"/>
    <w:rsid w:val="005064AC"/>
    <w:rsid w:val="0050704D"/>
    <w:rsid w:val="00507F54"/>
    <w:rsid w:val="0051036A"/>
    <w:rsid w:val="00512A9B"/>
    <w:rsid w:val="00513C91"/>
    <w:rsid w:val="00513DAA"/>
    <w:rsid w:val="00514A3E"/>
    <w:rsid w:val="00516AD7"/>
    <w:rsid w:val="00522E71"/>
    <w:rsid w:val="00524A2F"/>
    <w:rsid w:val="00524F99"/>
    <w:rsid w:val="00530BC7"/>
    <w:rsid w:val="005311F9"/>
    <w:rsid w:val="00531F9F"/>
    <w:rsid w:val="00535C1F"/>
    <w:rsid w:val="005407A0"/>
    <w:rsid w:val="00543DC0"/>
    <w:rsid w:val="0054698F"/>
    <w:rsid w:val="00547689"/>
    <w:rsid w:val="00551AF3"/>
    <w:rsid w:val="005521CA"/>
    <w:rsid w:val="0055241D"/>
    <w:rsid w:val="00552DC2"/>
    <w:rsid w:val="00556A1C"/>
    <w:rsid w:val="0056063D"/>
    <w:rsid w:val="00561BB5"/>
    <w:rsid w:val="005629C5"/>
    <w:rsid w:val="00565972"/>
    <w:rsid w:val="00570888"/>
    <w:rsid w:val="00571FD5"/>
    <w:rsid w:val="00573B9E"/>
    <w:rsid w:val="00573DFB"/>
    <w:rsid w:val="005764D2"/>
    <w:rsid w:val="005768FF"/>
    <w:rsid w:val="00580AED"/>
    <w:rsid w:val="00582B8B"/>
    <w:rsid w:val="00585D3C"/>
    <w:rsid w:val="0059369F"/>
    <w:rsid w:val="005A2C48"/>
    <w:rsid w:val="005A3455"/>
    <w:rsid w:val="005A3C34"/>
    <w:rsid w:val="005A5C31"/>
    <w:rsid w:val="005A6169"/>
    <w:rsid w:val="005A72E5"/>
    <w:rsid w:val="005B2486"/>
    <w:rsid w:val="005B28A2"/>
    <w:rsid w:val="005B2A81"/>
    <w:rsid w:val="005B7ADB"/>
    <w:rsid w:val="005C013E"/>
    <w:rsid w:val="005C14ED"/>
    <w:rsid w:val="005C1C7C"/>
    <w:rsid w:val="005C3B3A"/>
    <w:rsid w:val="005C6032"/>
    <w:rsid w:val="005D2199"/>
    <w:rsid w:val="005D28AB"/>
    <w:rsid w:val="005D2F28"/>
    <w:rsid w:val="005D5130"/>
    <w:rsid w:val="005D6545"/>
    <w:rsid w:val="005E022A"/>
    <w:rsid w:val="005E445B"/>
    <w:rsid w:val="005E71BE"/>
    <w:rsid w:val="005E7D07"/>
    <w:rsid w:val="005F42CF"/>
    <w:rsid w:val="00601276"/>
    <w:rsid w:val="00607D06"/>
    <w:rsid w:val="006136F7"/>
    <w:rsid w:val="00624596"/>
    <w:rsid w:val="006247F0"/>
    <w:rsid w:val="006318B0"/>
    <w:rsid w:val="006334D9"/>
    <w:rsid w:val="00634CA2"/>
    <w:rsid w:val="006351AC"/>
    <w:rsid w:val="00636238"/>
    <w:rsid w:val="00637F1D"/>
    <w:rsid w:val="006444DE"/>
    <w:rsid w:val="00646095"/>
    <w:rsid w:val="00647A1A"/>
    <w:rsid w:val="006517ED"/>
    <w:rsid w:val="00655996"/>
    <w:rsid w:val="006618B0"/>
    <w:rsid w:val="00670778"/>
    <w:rsid w:val="006711C2"/>
    <w:rsid w:val="00671D63"/>
    <w:rsid w:val="006732A5"/>
    <w:rsid w:val="00674ACA"/>
    <w:rsid w:val="006757D1"/>
    <w:rsid w:val="006773DC"/>
    <w:rsid w:val="0068248C"/>
    <w:rsid w:val="00683514"/>
    <w:rsid w:val="006862A3"/>
    <w:rsid w:val="006906F6"/>
    <w:rsid w:val="0069114A"/>
    <w:rsid w:val="0069157F"/>
    <w:rsid w:val="00691BEC"/>
    <w:rsid w:val="006924A3"/>
    <w:rsid w:val="00692BC5"/>
    <w:rsid w:val="00694AF3"/>
    <w:rsid w:val="00697CB0"/>
    <w:rsid w:val="006A030A"/>
    <w:rsid w:val="006A219E"/>
    <w:rsid w:val="006A35A6"/>
    <w:rsid w:val="006A457C"/>
    <w:rsid w:val="006B1138"/>
    <w:rsid w:val="006B1A70"/>
    <w:rsid w:val="006C0510"/>
    <w:rsid w:val="006C544F"/>
    <w:rsid w:val="006D20A9"/>
    <w:rsid w:val="006D7166"/>
    <w:rsid w:val="006D7A84"/>
    <w:rsid w:val="006E0506"/>
    <w:rsid w:val="006E1250"/>
    <w:rsid w:val="006E136C"/>
    <w:rsid w:val="006F4660"/>
    <w:rsid w:val="006F53E1"/>
    <w:rsid w:val="006F6985"/>
    <w:rsid w:val="00702EC7"/>
    <w:rsid w:val="00703717"/>
    <w:rsid w:val="007062FF"/>
    <w:rsid w:val="007104B4"/>
    <w:rsid w:val="0071426B"/>
    <w:rsid w:val="00715AEB"/>
    <w:rsid w:val="00716B91"/>
    <w:rsid w:val="00717CEE"/>
    <w:rsid w:val="00722DE1"/>
    <w:rsid w:val="00724C01"/>
    <w:rsid w:val="00725DAA"/>
    <w:rsid w:val="00726C84"/>
    <w:rsid w:val="00726FAF"/>
    <w:rsid w:val="0073109D"/>
    <w:rsid w:val="00731523"/>
    <w:rsid w:val="0073354D"/>
    <w:rsid w:val="007340E4"/>
    <w:rsid w:val="00735A48"/>
    <w:rsid w:val="00736C9F"/>
    <w:rsid w:val="00740B9B"/>
    <w:rsid w:val="00743E16"/>
    <w:rsid w:val="00744756"/>
    <w:rsid w:val="00747CB7"/>
    <w:rsid w:val="00751215"/>
    <w:rsid w:val="007529EC"/>
    <w:rsid w:val="007550A3"/>
    <w:rsid w:val="00756490"/>
    <w:rsid w:val="00756F59"/>
    <w:rsid w:val="0075790C"/>
    <w:rsid w:val="00765F70"/>
    <w:rsid w:val="007715DB"/>
    <w:rsid w:val="00773FD7"/>
    <w:rsid w:val="00774795"/>
    <w:rsid w:val="007748E6"/>
    <w:rsid w:val="007758DA"/>
    <w:rsid w:val="00776545"/>
    <w:rsid w:val="00776D6B"/>
    <w:rsid w:val="00777A4E"/>
    <w:rsid w:val="0078135B"/>
    <w:rsid w:val="00781979"/>
    <w:rsid w:val="007847B3"/>
    <w:rsid w:val="00791BEC"/>
    <w:rsid w:val="007A0D8E"/>
    <w:rsid w:val="007A1FA8"/>
    <w:rsid w:val="007A57DA"/>
    <w:rsid w:val="007B66F0"/>
    <w:rsid w:val="007C0DBD"/>
    <w:rsid w:val="007C114B"/>
    <w:rsid w:val="007C5251"/>
    <w:rsid w:val="007C56EF"/>
    <w:rsid w:val="007D15BB"/>
    <w:rsid w:val="007D15FD"/>
    <w:rsid w:val="007D3597"/>
    <w:rsid w:val="007D7DDA"/>
    <w:rsid w:val="007E3146"/>
    <w:rsid w:val="007E3626"/>
    <w:rsid w:val="007E4F68"/>
    <w:rsid w:val="007F0ED2"/>
    <w:rsid w:val="007F6B75"/>
    <w:rsid w:val="007F7BAA"/>
    <w:rsid w:val="00800232"/>
    <w:rsid w:val="00801C8A"/>
    <w:rsid w:val="008034A8"/>
    <w:rsid w:val="008051DD"/>
    <w:rsid w:val="00806143"/>
    <w:rsid w:val="00810B04"/>
    <w:rsid w:val="00813E9D"/>
    <w:rsid w:val="00814C8C"/>
    <w:rsid w:val="00814F25"/>
    <w:rsid w:val="0081642C"/>
    <w:rsid w:val="00825237"/>
    <w:rsid w:val="008264A6"/>
    <w:rsid w:val="00830BA8"/>
    <w:rsid w:val="00831121"/>
    <w:rsid w:val="00836396"/>
    <w:rsid w:val="008376CB"/>
    <w:rsid w:val="00837E71"/>
    <w:rsid w:val="00843D99"/>
    <w:rsid w:val="00846C09"/>
    <w:rsid w:val="00851456"/>
    <w:rsid w:val="00852ED4"/>
    <w:rsid w:val="00854B6B"/>
    <w:rsid w:val="00860C8A"/>
    <w:rsid w:val="00865FA3"/>
    <w:rsid w:val="0087152E"/>
    <w:rsid w:val="0087268E"/>
    <w:rsid w:val="00874F0C"/>
    <w:rsid w:val="0087796B"/>
    <w:rsid w:val="0088370D"/>
    <w:rsid w:val="008842A1"/>
    <w:rsid w:val="00891B19"/>
    <w:rsid w:val="008969EE"/>
    <w:rsid w:val="00896E38"/>
    <w:rsid w:val="008A0B29"/>
    <w:rsid w:val="008A317B"/>
    <w:rsid w:val="008A6C8C"/>
    <w:rsid w:val="008A7196"/>
    <w:rsid w:val="008A71DD"/>
    <w:rsid w:val="008B113A"/>
    <w:rsid w:val="008B51D7"/>
    <w:rsid w:val="008C0241"/>
    <w:rsid w:val="008C1EB2"/>
    <w:rsid w:val="008C320C"/>
    <w:rsid w:val="008C4F42"/>
    <w:rsid w:val="008D1BCB"/>
    <w:rsid w:val="008D27F9"/>
    <w:rsid w:val="008E2F19"/>
    <w:rsid w:val="008E307B"/>
    <w:rsid w:val="008E393D"/>
    <w:rsid w:val="008E7567"/>
    <w:rsid w:val="008E79DE"/>
    <w:rsid w:val="008F02A1"/>
    <w:rsid w:val="008F0FD5"/>
    <w:rsid w:val="008F2A45"/>
    <w:rsid w:val="008F3A7B"/>
    <w:rsid w:val="008F40F2"/>
    <w:rsid w:val="008F4867"/>
    <w:rsid w:val="008F7E1A"/>
    <w:rsid w:val="009011BE"/>
    <w:rsid w:val="00906E2C"/>
    <w:rsid w:val="00910F1D"/>
    <w:rsid w:val="00912167"/>
    <w:rsid w:val="00913BEE"/>
    <w:rsid w:val="009147CC"/>
    <w:rsid w:val="00916EE8"/>
    <w:rsid w:val="00925D22"/>
    <w:rsid w:val="0093112B"/>
    <w:rsid w:val="00932F16"/>
    <w:rsid w:val="0093377F"/>
    <w:rsid w:val="0093471C"/>
    <w:rsid w:val="009363BE"/>
    <w:rsid w:val="00940BE8"/>
    <w:rsid w:val="00941000"/>
    <w:rsid w:val="00946B85"/>
    <w:rsid w:val="009517D6"/>
    <w:rsid w:val="00952D41"/>
    <w:rsid w:val="00953421"/>
    <w:rsid w:val="00960BCE"/>
    <w:rsid w:val="0096195E"/>
    <w:rsid w:val="009624A7"/>
    <w:rsid w:val="00962E2D"/>
    <w:rsid w:val="00972247"/>
    <w:rsid w:val="00972616"/>
    <w:rsid w:val="009760A9"/>
    <w:rsid w:val="009761C5"/>
    <w:rsid w:val="00977D17"/>
    <w:rsid w:val="0098186B"/>
    <w:rsid w:val="009823C0"/>
    <w:rsid w:val="00982C82"/>
    <w:rsid w:val="00984862"/>
    <w:rsid w:val="00985691"/>
    <w:rsid w:val="00986266"/>
    <w:rsid w:val="009949BE"/>
    <w:rsid w:val="00996F5D"/>
    <w:rsid w:val="009A17CF"/>
    <w:rsid w:val="009A37F7"/>
    <w:rsid w:val="009A3914"/>
    <w:rsid w:val="009A606D"/>
    <w:rsid w:val="009A732A"/>
    <w:rsid w:val="009B1601"/>
    <w:rsid w:val="009B2043"/>
    <w:rsid w:val="009B2592"/>
    <w:rsid w:val="009B6E56"/>
    <w:rsid w:val="009C1918"/>
    <w:rsid w:val="009C62E2"/>
    <w:rsid w:val="009C7AA0"/>
    <w:rsid w:val="009D31F0"/>
    <w:rsid w:val="009D4D0B"/>
    <w:rsid w:val="009D51E4"/>
    <w:rsid w:val="009D6B47"/>
    <w:rsid w:val="009D7F0E"/>
    <w:rsid w:val="009E4842"/>
    <w:rsid w:val="009E6080"/>
    <w:rsid w:val="009F2456"/>
    <w:rsid w:val="009F3656"/>
    <w:rsid w:val="009F39F1"/>
    <w:rsid w:val="009F4BD4"/>
    <w:rsid w:val="009F5CF0"/>
    <w:rsid w:val="00A00102"/>
    <w:rsid w:val="00A01B36"/>
    <w:rsid w:val="00A02075"/>
    <w:rsid w:val="00A02A0C"/>
    <w:rsid w:val="00A05642"/>
    <w:rsid w:val="00A066B5"/>
    <w:rsid w:val="00A13AAA"/>
    <w:rsid w:val="00A13C3F"/>
    <w:rsid w:val="00A1552D"/>
    <w:rsid w:val="00A212BA"/>
    <w:rsid w:val="00A2186F"/>
    <w:rsid w:val="00A24374"/>
    <w:rsid w:val="00A24D9A"/>
    <w:rsid w:val="00A25042"/>
    <w:rsid w:val="00A30478"/>
    <w:rsid w:val="00A41627"/>
    <w:rsid w:val="00A427B0"/>
    <w:rsid w:val="00A4361D"/>
    <w:rsid w:val="00A46EB5"/>
    <w:rsid w:val="00A5037E"/>
    <w:rsid w:val="00A504C2"/>
    <w:rsid w:val="00A60D55"/>
    <w:rsid w:val="00A66D3C"/>
    <w:rsid w:val="00A67896"/>
    <w:rsid w:val="00A72364"/>
    <w:rsid w:val="00A7422C"/>
    <w:rsid w:val="00A8256A"/>
    <w:rsid w:val="00A82703"/>
    <w:rsid w:val="00A82A05"/>
    <w:rsid w:val="00A8544F"/>
    <w:rsid w:val="00A870CE"/>
    <w:rsid w:val="00A916F0"/>
    <w:rsid w:val="00A92B4F"/>
    <w:rsid w:val="00AA0AA7"/>
    <w:rsid w:val="00AA0C4D"/>
    <w:rsid w:val="00AA0F0D"/>
    <w:rsid w:val="00AA2D71"/>
    <w:rsid w:val="00AA60DB"/>
    <w:rsid w:val="00AB04CA"/>
    <w:rsid w:val="00AB08EA"/>
    <w:rsid w:val="00AB1D29"/>
    <w:rsid w:val="00AB27DC"/>
    <w:rsid w:val="00AB2E9E"/>
    <w:rsid w:val="00AB4289"/>
    <w:rsid w:val="00AB54AD"/>
    <w:rsid w:val="00AB5ECD"/>
    <w:rsid w:val="00AB65C0"/>
    <w:rsid w:val="00AC6E8B"/>
    <w:rsid w:val="00AD0E3B"/>
    <w:rsid w:val="00AD1ED2"/>
    <w:rsid w:val="00AD2454"/>
    <w:rsid w:val="00AD4B81"/>
    <w:rsid w:val="00AE75E3"/>
    <w:rsid w:val="00AF25E6"/>
    <w:rsid w:val="00AF455A"/>
    <w:rsid w:val="00AF49E5"/>
    <w:rsid w:val="00AF5968"/>
    <w:rsid w:val="00B0364D"/>
    <w:rsid w:val="00B07023"/>
    <w:rsid w:val="00B123FB"/>
    <w:rsid w:val="00B1460D"/>
    <w:rsid w:val="00B1500D"/>
    <w:rsid w:val="00B15F84"/>
    <w:rsid w:val="00B16916"/>
    <w:rsid w:val="00B16E11"/>
    <w:rsid w:val="00B22D4B"/>
    <w:rsid w:val="00B23134"/>
    <w:rsid w:val="00B24284"/>
    <w:rsid w:val="00B25EDC"/>
    <w:rsid w:val="00B27215"/>
    <w:rsid w:val="00B35EEE"/>
    <w:rsid w:val="00B36CC7"/>
    <w:rsid w:val="00B379BB"/>
    <w:rsid w:val="00B41198"/>
    <w:rsid w:val="00B41474"/>
    <w:rsid w:val="00B42895"/>
    <w:rsid w:val="00B43113"/>
    <w:rsid w:val="00B504B7"/>
    <w:rsid w:val="00B509D3"/>
    <w:rsid w:val="00B5485A"/>
    <w:rsid w:val="00B570CA"/>
    <w:rsid w:val="00B65D57"/>
    <w:rsid w:val="00B670A0"/>
    <w:rsid w:val="00B70A2B"/>
    <w:rsid w:val="00B71167"/>
    <w:rsid w:val="00B7127B"/>
    <w:rsid w:val="00B71297"/>
    <w:rsid w:val="00B72E2B"/>
    <w:rsid w:val="00B76662"/>
    <w:rsid w:val="00B76983"/>
    <w:rsid w:val="00B777E2"/>
    <w:rsid w:val="00B8101E"/>
    <w:rsid w:val="00B87C02"/>
    <w:rsid w:val="00B90239"/>
    <w:rsid w:val="00B917F7"/>
    <w:rsid w:val="00B91E8C"/>
    <w:rsid w:val="00B95815"/>
    <w:rsid w:val="00BA0224"/>
    <w:rsid w:val="00BA03D6"/>
    <w:rsid w:val="00BA11E9"/>
    <w:rsid w:val="00BA2153"/>
    <w:rsid w:val="00BB3DA6"/>
    <w:rsid w:val="00BB5645"/>
    <w:rsid w:val="00BC768F"/>
    <w:rsid w:val="00BC7DCE"/>
    <w:rsid w:val="00BD0D08"/>
    <w:rsid w:val="00BD1992"/>
    <w:rsid w:val="00BD2E61"/>
    <w:rsid w:val="00BD5677"/>
    <w:rsid w:val="00BD5711"/>
    <w:rsid w:val="00BD622C"/>
    <w:rsid w:val="00BE1639"/>
    <w:rsid w:val="00BE2772"/>
    <w:rsid w:val="00BE4595"/>
    <w:rsid w:val="00BF01A2"/>
    <w:rsid w:val="00BF0A7A"/>
    <w:rsid w:val="00BF4175"/>
    <w:rsid w:val="00BF434D"/>
    <w:rsid w:val="00BF6024"/>
    <w:rsid w:val="00C01744"/>
    <w:rsid w:val="00C02EE5"/>
    <w:rsid w:val="00C06CA6"/>
    <w:rsid w:val="00C146DB"/>
    <w:rsid w:val="00C15F65"/>
    <w:rsid w:val="00C17EE5"/>
    <w:rsid w:val="00C3196D"/>
    <w:rsid w:val="00C3201B"/>
    <w:rsid w:val="00C328D9"/>
    <w:rsid w:val="00C330C0"/>
    <w:rsid w:val="00C334D2"/>
    <w:rsid w:val="00C37830"/>
    <w:rsid w:val="00C40D68"/>
    <w:rsid w:val="00C40E23"/>
    <w:rsid w:val="00C502D3"/>
    <w:rsid w:val="00C51456"/>
    <w:rsid w:val="00C52574"/>
    <w:rsid w:val="00C52935"/>
    <w:rsid w:val="00C52A87"/>
    <w:rsid w:val="00C54754"/>
    <w:rsid w:val="00C54EEB"/>
    <w:rsid w:val="00C6043D"/>
    <w:rsid w:val="00C61201"/>
    <w:rsid w:val="00C63D43"/>
    <w:rsid w:val="00C66B16"/>
    <w:rsid w:val="00C73242"/>
    <w:rsid w:val="00C73B3A"/>
    <w:rsid w:val="00C74BDE"/>
    <w:rsid w:val="00C84479"/>
    <w:rsid w:val="00C84902"/>
    <w:rsid w:val="00C90860"/>
    <w:rsid w:val="00C91F6C"/>
    <w:rsid w:val="00C92981"/>
    <w:rsid w:val="00C93BFD"/>
    <w:rsid w:val="00C9585F"/>
    <w:rsid w:val="00CA3517"/>
    <w:rsid w:val="00CA5A27"/>
    <w:rsid w:val="00CA6333"/>
    <w:rsid w:val="00CA795D"/>
    <w:rsid w:val="00CB0F51"/>
    <w:rsid w:val="00CB33E2"/>
    <w:rsid w:val="00CB41A7"/>
    <w:rsid w:val="00CB5E41"/>
    <w:rsid w:val="00CB6271"/>
    <w:rsid w:val="00CB685D"/>
    <w:rsid w:val="00CB77A3"/>
    <w:rsid w:val="00CB7EC8"/>
    <w:rsid w:val="00CC1652"/>
    <w:rsid w:val="00CC3EF1"/>
    <w:rsid w:val="00CC4F27"/>
    <w:rsid w:val="00CC56E5"/>
    <w:rsid w:val="00CC59AD"/>
    <w:rsid w:val="00CC6C47"/>
    <w:rsid w:val="00CD07A6"/>
    <w:rsid w:val="00CD4379"/>
    <w:rsid w:val="00CE50CF"/>
    <w:rsid w:val="00CF46C0"/>
    <w:rsid w:val="00CF4B92"/>
    <w:rsid w:val="00CF5294"/>
    <w:rsid w:val="00CF5514"/>
    <w:rsid w:val="00CF5E2E"/>
    <w:rsid w:val="00CF75E4"/>
    <w:rsid w:val="00D009E0"/>
    <w:rsid w:val="00D200B0"/>
    <w:rsid w:val="00D227FD"/>
    <w:rsid w:val="00D23897"/>
    <w:rsid w:val="00D30849"/>
    <w:rsid w:val="00D32F9D"/>
    <w:rsid w:val="00D3529A"/>
    <w:rsid w:val="00D35EA8"/>
    <w:rsid w:val="00D35F65"/>
    <w:rsid w:val="00D366B0"/>
    <w:rsid w:val="00D437C2"/>
    <w:rsid w:val="00D4581D"/>
    <w:rsid w:val="00D45CB3"/>
    <w:rsid w:val="00D4778A"/>
    <w:rsid w:val="00D47FDB"/>
    <w:rsid w:val="00D50F95"/>
    <w:rsid w:val="00D52F4A"/>
    <w:rsid w:val="00D56B54"/>
    <w:rsid w:val="00D57A94"/>
    <w:rsid w:val="00D604DD"/>
    <w:rsid w:val="00D60DD5"/>
    <w:rsid w:val="00D65359"/>
    <w:rsid w:val="00D67FAD"/>
    <w:rsid w:val="00D74C58"/>
    <w:rsid w:val="00D75F27"/>
    <w:rsid w:val="00D76012"/>
    <w:rsid w:val="00D83342"/>
    <w:rsid w:val="00D85EB2"/>
    <w:rsid w:val="00D874F9"/>
    <w:rsid w:val="00D95735"/>
    <w:rsid w:val="00D95D64"/>
    <w:rsid w:val="00DA3DA4"/>
    <w:rsid w:val="00DA574B"/>
    <w:rsid w:val="00DA6979"/>
    <w:rsid w:val="00DA6FDA"/>
    <w:rsid w:val="00DB395C"/>
    <w:rsid w:val="00DB65F7"/>
    <w:rsid w:val="00DB7912"/>
    <w:rsid w:val="00DD239F"/>
    <w:rsid w:val="00DD2E62"/>
    <w:rsid w:val="00DD33C7"/>
    <w:rsid w:val="00DE3869"/>
    <w:rsid w:val="00DE5EDB"/>
    <w:rsid w:val="00DE70BF"/>
    <w:rsid w:val="00DE751A"/>
    <w:rsid w:val="00DF10EA"/>
    <w:rsid w:val="00DF3379"/>
    <w:rsid w:val="00DF380E"/>
    <w:rsid w:val="00DF4EF0"/>
    <w:rsid w:val="00E00976"/>
    <w:rsid w:val="00E021DF"/>
    <w:rsid w:val="00E04DC8"/>
    <w:rsid w:val="00E05C3B"/>
    <w:rsid w:val="00E05EDA"/>
    <w:rsid w:val="00E07318"/>
    <w:rsid w:val="00E07962"/>
    <w:rsid w:val="00E10DA6"/>
    <w:rsid w:val="00E14562"/>
    <w:rsid w:val="00E16BFD"/>
    <w:rsid w:val="00E2285C"/>
    <w:rsid w:val="00E26210"/>
    <w:rsid w:val="00E27168"/>
    <w:rsid w:val="00E33F98"/>
    <w:rsid w:val="00E35746"/>
    <w:rsid w:val="00E41884"/>
    <w:rsid w:val="00E41F0F"/>
    <w:rsid w:val="00E4347D"/>
    <w:rsid w:val="00E43ECC"/>
    <w:rsid w:val="00E50D40"/>
    <w:rsid w:val="00E50EB3"/>
    <w:rsid w:val="00E55A0A"/>
    <w:rsid w:val="00E6449D"/>
    <w:rsid w:val="00E66C27"/>
    <w:rsid w:val="00E70193"/>
    <w:rsid w:val="00E71828"/>
    <w:rsid w:val="00E728D3"/>
    <w:rsid w:val="00E76BAB"/>
    <w:rsid w:val="00E77455"/>
    <w:rsid w:val="00E81A0F"/>
    <w:rsid w:val="00E845CA"/>
    <w:rsid w:val="00E87640"/>
    <w:rsid w:val="00E92452"/>
    <w:rsid w:val="00E92549"/>
    <w:rsid w:val="00EA61A4"/>
    <w:rsid w:val="00EA77A7"/>
    <w:rsid w:val="00EB04B4"/>
    <w:rsid w:val="00EB5DC6"/>
    <w:rsid w:val="00EC197A"/>
    <w:rsid w:val="00EC2763"/>
    <w:rsid w:val="00ED36A3"/>
    <w:rsid w:val="00ED548F"/>
    <w:rsid w:val="00ED5EE9"/>
    <w:rsid w:val="00EE2726"/>
    <w:rsid w:val="00EF352D"/>
    <w:rsid w:val="00EF4076"/>
    <w:rsid w:val="00F005B8"/>
    <w:rsid w:val="00F00823"/>
    <w:rsid w:val="00F036D4"/>
    <w:rsid w:val="00F0424A"/>
    <w:rsid w:val="00F20133"/>
    <w:rsid w:val="00F22A71"/>
    <w:rsid w:val="00F23922"/>
    <w:rsid w:val="00F23C0F"/>
    <w:rsid w:val="00F25965"/>
    <w:rsid w:val="00F27616"/>
    <w:rsid w:val="00F31A33"/>
    <w:rsid w:val="00F32418"/>
    <w:rsid w:val="00F3291B"/>
    <w:rsid w:val="00F32A17"/>
    <w:rsid w:val="00F352D9"/>
    <w:rsid w:val="00F35E6D"/>
    <w:rsid w:val="00F36267"/>
    <w:rsid w:val="00F37DB4"/>
    <w:rsid w:val="00F4265D"/>
    <w:rsid w:val="00F45B14"/>
    <w:rsid w:val="00F47711"/>
    <w:rsid w:val="00F55AFA"/>
    <w:rsid w:val="00F56F8E"/>
    <w:rsid w:val="00F608D7"/>
    <w:rsid w:val="00F61EFF"/>
    <w:rsid w:val="00F621D4"/>
    <w:rsid w:val="00F64DF9"/>
    <w:rsid w:val="00F672CB"/>
    <w:rsid w:val="00F70207"/>
    <w:rsid w:val="00F71912"/>
    <w:rsid w:val="00F73981"/>
    <w:rsid w:val="00F75EC9"/>
    <w:rsid w:val="00F813A2"/>
    <w:rsid w:val="00F82458"/>
    <w:rsid w:val="00F855F6"/>
    <w:rsid w:val="00F85A31"/>
    <w:rsid w:val="00F85F47"/>
    <w:rsid w:val="00F87852"/>
    <w:rsid w:val="00FA0908"/>
    <w:rsid w:val="00FA11F3"/>
    <w:rsid w:val="00FA39C7"/>
    <w:rsid w:val="00FC0FBF"/>
    <w:rsid w:val="00FC2B7F"/>
    <w:rsid w:val="00FC3B62"/>
    <w:rsid w:val="00FC45CC"/>
    <w:rsid w:val="00FD1705"/>
    <w:rsid w:val="00FD43F4"/>
    <w:rsid w:val="00FE1EC2"/>
    <w:rsid w:val="00FE2E42"/>
    <w:rsid w:val="00FE3392"/>
    <w:rsid w:val="00FE4A91"/>
    <w:rsid w:val="00FE4F67"/>
    <w:rsid w:val="00FF010F"/>
    <w:rsid w:val="00FF1198"/>
    <w:rsid w:val="00FF15ED"/>
    <w:rsid w:val="00FF1E54"/>
    <w:rsid w:val="00FF3276"/>
    <w:rsid w:val="00FF3615"/>
    <w:rsid w:val="00FF44F1"/>
    <w:rsid w:val="00FF487E"/>
    <w:rsid w:val="00FF4D21"/>
    <w:rsid w:val="00FF50CE"/>
  </w:rsids>
  <m:mathPr>
    <m:mathFont m:val="Cambria Math"/>
    <m:brkBin m:val="before"/>
    <m:brkBinSub m:val="--"/>
    <m:smallFrac m:val="0"/>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77C9FE"/>
  <w15:chartTrackingRefBased/>
  <w15:docId w15:val="{FCCF2A6A-437F-4F6C-A120-96FFD4DE3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GB" w:eastAsia="en-US"/>
    </w:rPr>
  </w:style>
  <w:style w:type="paragraph" w:styleId="Heading1">
    <w:name w:val="heading 1"/>
    <w:basedOn w:val="Normal"/>
    <w:next w:val="Normal"/>
    <w:link w:val="Heading1Char"/>
    <w:uiPriority w:val="9"/>
    <w:qFormat/>
    <w:rsid w:val="00063486"/>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3113"/>
    <w:pPr>
      <w:tabs>
        <w:tab w:val="center" w:pos="4320"/>
        <w:tab w:val="right" w:pos="8640"/>
      </w:tabs>
    </w:pPr>
  </w:style>
  <w:style w:type="paragraph" w:customStyle="1" w:styleId="a">
    <w:name w:val="ΔΙΚΗΓΟΡΟΙ"/>
    <w:basedOn w:val="Normal"/>
    <w:pPr>
      <w:ind w:left="397" w:hanging="113"/>
      <w:jc w:val="both"/>
    </w:pPr>
    <w:rPr>
      <w:lang w:val="en-US"/>
    </w:rPr>
  </w:style>
  <w:style w:type="paragraph" w:customStyle="1" w:styleId="ONOMATATIT">
    <w:name w:val="ONOMATA TITΛΩΝ"/>
    <w:basedOn w:val="Normal"/>
    <w:link w:val="ONOMATATITChar"/>
    <w:pPr>
      <w:ind w:left="1701"/>
      <w:jc w:val="center"/>
    </w:pPr>
    <w:rPr>
      <w:caps/>
    </w:rPr>
  </w:style>
  <w:style w:type="paragraph" w:customStyle="1" w:styleId="a0">
    <w:name w:val="Εφεσείων ή Εφεσίβλητος"/>
    <w:basedOn w:val="Normal"/>
    <w:pPr>
      <w:keepNext/>
      <w:jc w:val="right"/>
      <w:outlineLvl w:val="0"/>
    </w:pPr>
    <w:rPr>
      <w:rFonts w:cs="Arial"/>
      <w:bCs/>
      <w:i/>
      <w:kern w:val="32"/>
      <w:szCs w:val="32"/>
    </w:rPr>
  </w:style>
  <w:style w:type="paragraph" w:customStyle="1" w:styleId="a1">
    <w:name w:val="ΓΡΑΜΜΩΣΗ"/>
    <w:basedOn w:val="a0"/>
    <w:pPr>
      <w:pBdr>
        <w:top w:val="single" w:sz="4" w:space="1" w:color="auto"/>
      </w:pBdr>
      <w:ind w:left="2268" w:right="2268"/>
      <w:jc w:val="center"/>
    </w:pPr>
    <w:rPr>
      <w:lang w:val="el-GR"/>
    </w:rPr>
  </w:style>
  <w:style w:type="paragraph" w:customStyle="1" w:styleId="a2">
    <w:name w:val="(Α) ΤΙΤΛΟΣ"/>
    <w:basedOn w:val="05"/>
    <w:pPr>
      <w:ind w:left="340" w:hanging="340"/>
    </w:pPr>
  </w:style>
  <w:style w:type="paragraph" w:customStyle="1" w:styleId="i">
    <w:name w:val="(i) ΤΙΤΛΟΣ"/>
    <w:basedOn w:val="05"/>
    <w:pPr>
      <w:tabs>
        <w:tab w:val="left" w:pos="624"/>
      </w:tabs>
      <w:spacing w:line="240" w:lineRule="auto"/>
      <w:ind w:left="681" w:hanging="397"/>
    </w:pPr>
    <w:rPr>
      <w:b/>
    </w:rPr>
  </w:style>
  <w:style w:type="paragraph" w:customStyle="1" w:styleId="i-2">
    <w:name w:val="(i) ΤΙΤΛΟΣ -2"/>
    <w:basedOn w:val="i"/>
    <w:pPr>
      <w:ind w:left="624" w:firstLine="0"/>
    </w:pPr>
    <w:rPr>
      <w:bCs w:val="0"/>
    </w:rPr>
  </w:style>
  <w:style w:type="paragraph" w:customStyle="1" w:styleId="05">
    <w:name w:val="ΠΑΡΑΓΡΑΦΟΣ 0.5"/>
    <w:basedOn w:val="ONOMATATIT"/>
    <w:link w:val="05Char"/>
    <w:pPr>
      <w:spacing w:line="360" w:lineRule="auto"/>
      <w:ind w:left="0" w:firstLine="284"/>
      <w:jc w:val="both"/>
    </w:pPr>
    <w:rPr>
      <w:bCs/>
      <w:caps w:val="0"/>
      <w:lang w:val="el-GR"/>
    </w:rPr>
  </w:style>
  <w:style w:type="paragraph" w:customStyle="1" w:styleId="INDENT">
    <w:name w:val="&quot;INDENT&quot;"/>
    <w:basedOn w:val="05"/>
    <w:pPr>
      <w:tabs>
        <w:tab w:val="left" w:pos="851"/>
      </w:tabs>
      <w:spacing w:line="240" w:lineRule="auto"/>
      <w:ind w:left="567" w:firstLine="0"/>
    </w:pPr>
    <w:rPr>
      <w:lang w:val="en-US"/>
    </w:rPr>
  </w:style>
  <w:style w:type="paragraph" w:customStyle="1" w:styleId="INDENT0">
    <w:name w:val="&quot;INDENT&quot;+"/>
    <w:basedOn w:val="INDENT"/>
    <w:pPr>
      <w:tabs>
        <w:tab w:val="left" w:pos="1134"/>
      </w:tabs>
      <w:ind w:left="851"/>
    </w:pPr>
  </w:style>
  <w:style w:type="paragraph" w:customStyle="1" w:styleId="INDENT1">
    <w:name w:val="&quot;INDENT&quot;++"/>
    <w:basedOn w:val="INDENT0"/>
    <w:pPr>
      <w:tabs>
        <w:tab w:val="left" w:pos="1418"/>
      </w:tabs>
      <w:ind w:left="1134"/>
    </w:pPr>
  </w:style>
  <w:style w:type="character" w:customStyle="1" w:styleId="HeaderChar">
    <w:name w:val="Header Char"/>
    <w:link w:val="Header"/>
    <w:uiPriority w:val="99"/>
    <w:rsid w:val="00B43113"/>
    <w:rPr>
      <w:sz w:val="24"/>
      <w:szCs w:val="24"/>
      <w:lang w:val="en-GB"/>
    </w:rPr>
  </w:style>
  <w:style w:type="paragraph" w:styleId="Footer">
    <w:name w:val="footer"/>
    <w:basedOn w:val="Normal"/>
    <w:link w:val="FooterChar"/>
    <w:uiPriority w:val="99"/>
    <w:semiHidden/>
    <w:unhideWhenUsed/>
    <w:rsid w:val="00B43113"/>
    <w:pPr>
      <w:tabs>
        <w:tab w:val="center" w:pos="4320"/>
        <w:tab w:val="right" w:pos="8640"/>
      </w:tabs>
    </w:pPr>
  </w:style>
  <w:style w:type="character" w:customStyle="1" w:styleId="FooterChar">
    <w:name w:val="Footer Char"/>
    <w:link w:val="Footer"/>
    <w:uiPriority w:val="99"/>
    <w:semiHidden/>
    <w:rsid w:val="00B43113"/>
    <w:rPr>
      <w:sz w:val="24"/>
      <w:szCs w:val="24"/>
      <w:lang w:val="en-GB"/>
    </w:rPr>
  </w:style>
  <w:style w:type="character" w:customStyle="1" w:styleId="ONOMATATITChar">
    <w:name w:val="ONOMATA TITΛΩΝ Char"/>
    <w:link w:val="ONOMATATIT"/>
    <w:rsid w:val="00BD1992"/>
    <w:rPr>
      <w:caps/>
      <w:sz w:val="24"/>
      <w:szCs w:val="24"/>
      <w:lang w:val="en-GB"/>
    </w:rPr>
  </w:style>
  <w:style w:type="character" w:customStyle="1" w:styleId="05Char">
    <w:name w:val="ΠΑΡΑΓΡΑΦΟΣ 0.5 Char"/>
    <w:link w:val="05"/>
    <w:rsid w:val="00BD1992"/>
    <w:rPr>
      <w:bCs/>
      <w:sz w:val="24"/>
      <w:szCs w:val="24"/>
      <w:lang w:val="el-GR"/>
    </w:rPr>
  </w:style>
  <w:style w:type="paragraph" w:styleId="ListParagraph">
    <w:name w:val="List Paragraph"/>
    <w:basedOn w:val="Normal"/>
    <w:qFormat/>
    <w:rsid w:val="00BD1992"/>
    <w:pPr>
      <w:ind w:left="720"/>
    </w:pPr>
  </w:style>
  <w:style w:type="paragraph" w:customStyle="1" w:styleId="0">
    <w:name w:val="ΠΑΡΑΓΡΑΦΟΣ 0"/>
    <w:aliases w:val="5 CM"/>
    <w:basedOn w:val="Normal"/>
    <w:autoRedefine/>
    <w:rsid w:val="00BD1992"/>
    <w:pPr>
      <w:spacing w:line="360" w:lineRule="auto"/>
      <w:ind w:firstLine="284"/>
      <w:jc w:val="both"/>
    </w:pPr>
    <w:rPr>
      <w:lang w:val="el-GR"/>
    </w:rPr>
  </w:style>
  <w:style w:type="character" w:styleId="Hyperlink">
    <w:name w:val="Hyperlink"/>
    <w:uiPriority w:val="99"/>
    <w:unhideWhenUsed/>
    <w:rsid w:val="00E728D3"/>
    <w:rPr>
      <w:color w:val="0000FF"/>
      <w:u w:val="single"/>
    </w:rPr>
  </w:style>
  <w:style w:type="paragraph" w:customStyle="1" w:styleId="Style1">
    <w:name w:val="Style1"/>
    <w:basedOn w:val="Normal"/>
    <w:autoRedefine/>
    <w:rsid w:val="00B570CA"/>
    <w:pPr>
      <w:widowControl w:val="0"/>
      <w:shd w:val="clear" w:color="auto" w:fill="FFFFFF"/>
      <w:autoSpaceDE w:val="0"/>
      <w:autoSpaceDN w:val="0"/>
      <w:adjustRightInd w:val="0"/>
      <w:ind w:left="288"/>
      <w:jc w:val="both"/>
    </w:pPr>
    <w:rPr>
      <w:sz w:val="28"/>
      <w:szCs w:val="28"/>
      <w:lang w:val="el-GR"/>
    </w:rPr>
  </w:style>
  <w:style w:type="paragraph" w:customStyle="1" w:styleId="00">
    <w:name w:val="0"/>
    <w:basedOn w:val="Normal"/>
    <w:rsid w:val="00117C36"/>
    <w:pPr>
      <w:spacing w:before="100" w:beforeAutospacing="1" w:after="100" w:afterAutospacing="1"/>
    </w:pPr>
    <w:rPr>
      <w:lang w:val="en-US"/>
    </w:rPr>
  </w:style>
  <w:style w:type="paragraph" w:styleId="FootnoteText">
    <w:name w:val="footnote text"/>
    <w:basedOn w:val="Normal"/>
    <w:link w:val="FootnoteTextChar"/>
    <w:uiPriority w:val="99"/>
    <w:semiHidden/>
    <w:unhideWhenUsed/>
    <w:rsid w:val="00814F25"/>
    <w:rPr>
      <w:sz w:val="20"/>
      <w:szCs w:val="20"/>
    </w:rPr>
  </w:style>
  <w:style w:type="character" w:customStyle="1" w:styleId="FootnoteTextChar">
    <w:name w:val="Footnote Text Char"/>
    <w:link w:val="FootnoteText"/>
    <w:uiPriority w:val="99"/>
    <w:semiHidden/>
    <w:rsid w:val="00814F25"/>
    <w:rPr>
      <w:lang w:val="en-GB"/>
    </w:rPr>
  </w:style>
  <w:style w:type="character" w:styleId="FootnoteReference">
    <w:name w:val="footnote reference"/>
    <w:uiPriority w:val="99"/>
    <w:semiHidden/>
    <w:unhideWhenUsed/>
    <w:rsid w:val="00814F25"/>
    <w:rPr>
      <w:vertAlign w:val="superscript"/>
    </w:rPr>
  </w:style>
  <w:style w:type="paragraph" w:customStyle="1" w:styleId="KANONIKH-">
    <w:name w:val="KANONIKH-ΤΙΤΛΟΣ"/>
    <w:basedOn w:val="Heading1"/>
    <w:rsid w:val="00063486"/>
    <w:pPr>
      <w:keepNext w:val="0"/>
      <w:spacing w:before="0" w:after="0"/>
      <w:jc w:val="both"/>
      <w:outlineLvl w:val="9"/>
    </w:pPr>
    <w:rPr>
      <w:rFonts w:ascii="Times New Roman" w:hAnsi="Times New Roman"/>
      <w:b w:val="0"/>
      <w:bCs w:val="0"/>
      <w:kern w:val="0"/>
      <w:sz w:val="28"/>
      <w:szCs w:val="28"/>
    </w:rPr>
  </w:style>
  <w:style w:type="character" w:customStyle="1" w:styleId="Heading1Char">
    <w:name w:val="Heading 1 Char"/>
    <w:link w:val="Heading1"/>
    <w:uiPriority w:val="9"/>
    <w:rsid w:val="00063486"/>
    <w:rPr>
      <w:rFonts w:ascii="Cambria" w:eastAsia="Times New Roman" w:hAnsi="Cambria" w:cs="Times New Roman"/>
      <w:b/>
      <w:bCs/>
      <w:kern w:val="32"/>
      <w:sz w:val="32"/>
      <w:szCs w:val="32"/>
      <w:lang w:val="en-GB"/>
    </w:rPr>
  </w:style>
  <w:style w:type="paragraph" w:styleId="BalloonText">
    <w:name w:val="Balloon Text"/>
    <w:basedOn w:val="Normal"/>
    <w:link w:val="BalloonTextChar"/>
    <w:uiPriority w:val="99"/>
    <w:semiHidden/>
    <w:unhideWhenUsed/>
    <w:rsid w:val="0012137B"/>
    <w:rPr>
      <w:rFonts w:ascii="Tahoma" w:hAnsi="Tahoma" w:cs="Tahoma"/>
      <w:sz w:val="16"/>
      <w:szCs w:val="16"/>
    </w:rPr>
  </w:style>
  <w:style w:type="character" w:customStyle="1" w:styleId="BalloonTextChar">
    <w:name w:val="Balloon Text Char"/>
    <w:link w:val="BalloonText"/>
    <w:uiPriority w:val="99"/>
    <w:semiHidden/>
    <w:rsid w:val="0012137B"/>
    <w:rPr>
      <w:rFonts w:ascii="Tahoma" w:hAnsi="Tahoma" w:cs="Tahoma"/>
      <w:sz w:val="16"/>
      <w:szCs w:val="16"/>
      <w:lang w:val="en-GB"/>
    </w:rPr>
  </w:style>
  <w:style w:type="paragraph" w:customStyle="1" w:styleId="apapaoi">
    <w:name w:val="apapaoi"/>
    <w:basedOn w:val="Normal"/>
    <w:rsid w:val="00751215"/>
    <w:pPr>
      <w:spacing w:line="250" w:lineRule="atLeast"/>
      <w:ind w:firstLine="283"/>
      <w:jc w:val="both"/>
    </w:pPr>
    <w:rPr>
      <w:rFonts w:ascii="GrTimes" w:hAnsi="GrTimes"/>
      <w:sz w:val="22"/>
      <w:szCs w:val="22"/>
      <w:lang w:val="el-GR" w:eastAsia="el-GR"/>
    </w:rPr>
  </w:style>
  <w:style w:type="paragraph" w:customStyle="1" w:styleId="kanonikh">
    <w:name w:val="kanonikh"/>
    <w:basedOn w:val="Normal"/>
    <w:rsid w:val="004C29CA"/>
    <w:pPr>
      <w:keepNext/>
      <w:spacing w:line="360" w:lineRule="auto"/>
      <w:jc w:val="both"/>
    </w:pPr>
    <w:rPr>
      <w:sz w:val="30"/>
      <w:szCs w:val="30"/>
      <w:lang w:val="el-GR" w:eastAsia="el-GR"/>
    </w:rPr>
  </w:style>
  <w:style w:type="character" w:customStyle="1" w:styleId="Bodytext2">
    <w:name w:val="Body text (2)_"/>
    <w:basedOn w:val="DefaultParagraphFont"/>
    <w:link w:val="Bodytext20"/>
    <w:locked/>
    <w:rsid w:val="008D27F9"/>
    <w:rPr>
      <w:rFonts w:ascii="Arial" w:eastAsia="Arial" w:hAnsi="Arial" w:cs="Arial"/>
      <w:shd w:val="clear" w:color="auto" w:fill="FFFFFF"/>
    </w:rPr>
  </w:style>
  <w:style w:type="paragraph" w:customStyle="1" w:styleId="Bodytext20">
    <w:name w:val="Body text (2)"/>
    <w:basedOn w:val="Normal"/>
    <w:link w:val="Bodytext2"/>
    <w:rsid w:val="008D27F9"/>
    <w:pPr>
      <w:widowControl w:val="0"/>
      <w:shd w:val="clear" w:color="auto" w:fill="FFFFFF"/>
      <w:spacing w:before="480" w:line="398" w:lineRule="exact"/>
      <w:jc w:val="both"/>
    </w:pPr>
    <w:rPr>
      <w:rFonts w:ascii="Arial" w:eastAsia="Arial" w:hAnsi="Arial" w:cs="Arial"/>
      <w:sz w:val="20"/>
      <w:szCs w:val="20"/>
      <w:lang w:val="el-GR" w:eastAsia="el-GR"/>
    </w:rPr>
  </w:style>
  <w:style w:type="character" w:customStyle="1" w:styleId="Bodytext2ItalicSpacing-1pt">
    <w:name w:val="Body text (2) + Italic;Spacing -1 pt"/>
    <w:basedOn w:val="Bodytext2"/>
    <w:rsid w:val="001A1387"/>
    <w:rPr>
      <w:rFonts w:ascii="Microsoft Sans Serif" w:eastAsia="Microsoft Sans Serif" w:hAnsi="Microsoft Sans Serif" w:cs="Microsoft Sans Serif"/>
      <w:b w:val="0"/>
      <w:bCs w:val="0"/>
      <w:i/>
      <w:iCs/>
      <w:smallCaps w:val="0"/>
      <w:strike w:val="0"/>
      <w:color w:val="000000"/>
      <w:spacing w:val="-20"/>
      <w:w w:val="100"/>
      <w:position w:val="0"/>
      <w:sz w:val="22"/>
      <w:szCs w:val="22"/>
      <w:u w:val="none"/>
      <w:shd w:val="clear" w:color="auto" w:fill="FFFFFF"/>
      <w:lang w:val="el-GR" w:eastAsia="el-GR" w:bidi="el-GR"/>
    </w:rPr>
  </w:style>
  <w:style w:type="character" w:customStyle="1" w:styleId="Bodytext3">
    <w:name w:val="Body text (3)_"/>
    <w:basedOn w:val="DefaultParagraphFont"/>
    <w:rsid w:val="001A1387"/>
    <w:rPr>
      <w:rFonts w:ascii="Arial" w:eastAsia="Arial" w:hAnsi="Arial" w:cs="Arial"/>
      <w:b w:val="0"/>
      <w:bCs w:val="0"/>
      <w:i w:val="0"/>
      <w:iCs w:val="0"/>
      <w:smallCaps w:val="0"/>
      <w:strike w:val="0"/>
      <w:spacing w:val="-10"/>
      <w:sz w:val="22"/>
      <w:szCs w:val="22"/>
      <w:u w:val="none"/>
    </w:rPr>
  </w:style>
  <w:style w:type="character" w:customStyle="1" w:styleId="Bodytext30">
    <w:name w:val="Body text (3)"/>
    <w:basedOn w:val="Bodytext3"/>
    <w:rsid w:val="001A1387"/>
    <w:rPr>
      <w:rFonts w:ascii="Arial" w:eastAsia="Arial" w:hAnsi="Arial" w:cs="Arial"/>
      <w:b w:val="0"/>
      <w:bCs w:val="0"/>
      <w:i w:val="0"/>
      <w:iCs w:val="0"/>
      <w:smallCaps w:val="0"/>
      <w:strike w:val="0"/>
      <w:color w:val="000000"/>
      <w:spacing w:val="-10"/>
      <w:w w:val="100"/>
      <w:position w:val="0"/>
      <w:sz w:val="22"/>
      <w:szCs w:val="22"/>
      <w:u w:val="single"/>
      <w:lang w:val="el-GR" w:eastAsia="el-GR" w:bidi="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1294574">
      <w:bodyDiv w:val="1"/>
      <w:marLeft w:val="0"/>
      <w:marRight w:val="0"/>
      <w:marTop w:val="0"/>
      <w:marBottom w:val="0"/>
      <w:divBdr>
        <w:top w:val="none" w:sz="0" w:space="0" w:color="auto"/>
        <w:left w:val="none" w:sz="0" w:space="0" w:color="auto"/>
        <w:bottom w:val="none" w:sz="0" w:space="0" w:color="auto"/>
        <w:right w:val="none" w:sz="0" w:space="0" w:color="auto"/>
      </w:divBdr>
    </w:div>
    <w:div w:id="244997539">
      <w:bodyDiv w:val="1"/>
      <w:marLeft w:val="0"/>
      <w:marRight w:val="0"/>
      <w:marTop w:val="0"/>
      <w:marBottom w:val="0"/>
      <w:divBdr>
        <w:top w:val="none" w:sz="0" w:space="0" w:color="auto"/>
        <w:left w:val="none" w:sz="0" w:space="0" w:color="auto"/>
        <w:bottom w:val="none" w:sz="0" w:space="0" w:color="auto"/>
        <w:right w:val="none" w:sz="0" w:space="0" w:color="auto"/>
      </w:divBdr>
    </w:div>
    <w:div w:id="260795029">
      <w:bodyDiv w:val="1"/>
      <w:marLeft w:val="0"/>
      <w:marRight w:val="0"/>
      <w:marTop w:val="0"/>
      <w:marBottom w:val="0"/>
      <w:divBdr>
        <w:top w:val="none" w:sz="0" w:space="0" w:color="auto"/>
        <w:left w:val="none" w:sz="0" w:space="0" w:color="auto"/>
        <w:bottom w:val="none" w:sz="0" w:space="0" w:color="auto"/>
        <w:right w:val="none" w:sz="0" w:space="0" w:color="auto"/>
      </w:divBdr>
    </w:div>
    <w:div w:id="302319330">
      <w:bodyDiv w:val="1"/>
      <w:marLeft w:val="0"/>
      <w:marRight w:val="0"/>
      <w:marTop w:val="0"/>
      <w:marBottom w:val="0"/>
      <w:divBdr>
        <w:top w:val="none" w:sz="0" w:space="0" w:color="auto"/>
        <w:left w:val="none" w:sz="0" w:space="0" w:color="auto"/>
        <w:bottom w:val="none" w:sz="0" w:space="0" w:color="auto"/>
        <w:right w:val="none" w:sz="0" w:space="0" w:color="auto"/>
      </w:divBdr>
    </w:div>
    <w:div w:id="380137656">
      <w:bodyDiv w:val="1"/>
      <w:marLeft w:val="0"/>
      <w:marRight w:val="0"/>
      <w:marTop w:val="0"/>
      <w:marBottom w:val="0"/>
      <w:divBdr>
        <w:top w:val="none" w:sz="0" w:space="0" w:color="auto"/>
        <w:left w:val="none" w:sz="0" w:space="0" w:color="auto"/>
        <w:bottom w:val="none" w:sz="0" w:space="0" w:color="auto"/>
        <w:right w:val="none" w:sz="0" w:space="0" w:color="auto"/>
      </w:divBdr>
    </w:div>
    <w:div w:id="552815217">
      <w:bodyDiv w:val="1"/>
      <w:marLeft w:val="0"/>
      <w:marRight w:val="0"/>
      <w:marTop w:val="0"/>
      <w:marBottom w:val="0"/>
      <w:divBdr>
        <w:top w:val="none" w:sz="0" w:space="0" w:color="auto"/>
        <w:left w:val="none" w:sz="0" w:space="0" w:color="auto"/>
        <w:bottom w:val="none" w:sz="0" w:space="0" w:color="auto"/>
        <w:right w:val="none" w:sz="0" w:space="0" w:color="auto"/>
      </w:divBdr>
    </w:div>
    <w:div w:id="555161238">
      <w:bodyDiv w:val="1"/>
      <w:marLeft w:val="0"/>
      <w:marRight w:val="0"/>
      <w:marTop w:val="0"/>
      <w:marBottom w:val="0"/>
      <w:divBdr>
        <w:top w:val="none" w:sz="0" w:space="0" w:color="auto"/>
        <w:left w:val="none" w:sz="0" w:space="0" w:color="auto"/>
        <w:bottom w:val="none" w:sz="0" w:space="0" w:color="auto"/>
        <w:right w:val="none" w:sz="0" w:space="0" w:color="auto"/>
      </w:divBdr>
    </w:div>
    <w:div w:id="611135872">
      <w:bodyDiv w:val="1"/>
      <w:marLeft w:val="0"/>
      <w:marRight w:val="0"/>
      <w:marTop w:val="0"/>
      <w:marBottom w:val="0"/>
      <w:divBdr>
        <w:top w:val="none" w:sz="0" w:space="0" w:color="auto"/>
        <w:left w:val="none" w:sz="0" w:space="0" w:color="auto"/>
        <w:bottom w:val="none" w:sz="0" w:space="0" w:color="auto"/>
        <w:right w:val="none" w:sz="0" w:space="0" w:color="auto"/>
      </w:divBdr>
      <w:divsChild>
        <w:div w:id="1055080410">
          <w:marLeft w:val="0"/>
          <w:marRight w:val="0"/>
          <w:marTop w:val="0"/>
          <w:marBottom w:val="0"/>
          <w:divBdr>
            <w:top w:val="none" w:sz="0" w:space="0" w:color="auto"/>
            <w:left w:val="none" w:sz="0" w:space="0" w:color="auto"/>
            <w:bottom w:val="none" w:sz="0" w:space="0" w:color="auto"/>
            <w:right w:val="none" w:sz="0" w:space="0" w:color="auto"/>
          </w:divBdr>
        </w:div>
      </w:divsChild>
    </w:div>
    <w:div w:id="723720460">
      <w:bodyDiv w:val="1"/>
      <w:marLeft w:val="0"/>
      <w:marRight w:val="0"/>
      <w:marTop w:val="0"/>
      <w:marBottom w:val="0"/>
      <w:divBdr>
        <w:top w:val="none" w:sz="0" w:space="0" w:color="auto"/>
        <w:left w:val="none" w:sz="0" w:space="0" w:color="auto"/>
        <w:bottom w:val="none" w:sz="0" w:space="0" w:color="auto"/>
        <w:right w:val="none" w:sz="0" w:space="0" w:color="auto"/>
      </w:divBdr>
    </w:div>
    <w:div w:id="775757400">
      <w:bodyDiv w:val="1"/>
      <w:marLeft w:val="0"/>
      <w:marRight w:val="0"/>
      <w:marTop w:val="0"/>
      <w:marBottom w:val="0"/>
      <w:divBdr>
        <w:top w:val="none" w:sz="0" w:space="0" w:color="auto"/>
        <w:left w:val="none" w:sz="0" w:space="0" w:color="auto"/>
        <w:bottom w:val="none" w:sz="0" w:space="0" w:color="auto"/>
        <w:right w:val="none" w:sz="0" w:space="0" w:color="auto"/>
      </w:divBdr>
      <w:divsChild>
        <w:div w:id="2099205614">
          <w:marLeft w:val="0"/>
          <w:marRight w:val="0"/>
          <w:marTop w:val="0"/>
          <w:marBottom w:val="0"/>
          <w:divBdr>
            <w:top w:val="none" w:sz="0" w:space="0" w:color="auto"/>
            <w:left w:val="none" w:sz="0" w:space="0" w:color="auto"/>
            <w:bottom w:val="none" w:sz="0" w:space="0" w:color="auto"/>
            <w:right w:val="none" w:sz="0" w:space="0" w:color="auto"/>
          </w:divBdr>
        </w:div>
      </w:divsChild>
    </w:div>
    <w:div w:id="796416511">
      <w:bodyDiv w:val="1"/>
      <w:marLeft w:val="0"/>
      <w:marRight w:val="0"/>
      <w:marTop w:val="0"/>
      <w:marBottom w:val="0"/>
      <w:divBdr>
        <w:top w:val="none" w:sz="0" w:space="0" w:color="auto"/>
        <w:left w:val="none" w:sz="0" w:space="0" w:color="auto"/>
        <w:bottom w:val="none" w:sz="0" w:space="0" w:color="auto"/>
        <w:right w:val="none" w:sz="0" w:space="0" w:color="auto"/>
      </w:divBdr>
    </w:div>
    <w:div w:id="842281342">
      <w:bodyDiv w:val="1"/>
      <w:marLeft w:val="0"/>
      <w:marRight w:val="0"/>
      <w:marTop w:val="0"/>
      <w:marBottom w:val="0"/>
      <w:divBdr>
        <w:top w:val="none" w:sz="0" w:space="0" w:color="auto"/>
        <w:left w:val="none" w:sz="0" w:space="0" w:color="auto"/>
        <w:bottom w:val="none" w:sz="0" w:space="0" w:color="auto"/>
        <w:right w:val="none" w:sz="0" w:space="0" w:color="auto"/>
      </w:divBdr>
    </w:div>
    <w:div w:id="898828640">
      <w:bodyDiv w:val="1"/>
      <w:marLeft w:val="0"/>
      <w:marRight w:val="0"/>
      <w:marTop w:val="0"/>
      <w:marBottom w:val="0"/>
      <w:divBdr>
        <w:top w:val="none" w:sz="0" w:space="0" w:color="auto"/>
        <w:left w:val="none" w:sz="0" w:space="0" w:color="auto"/>
        <w:bottom w:val="none" w:sz="0" w:space="0" w:color="auto"/>
        <w:right w:val="none" w:sz="0" w:space="0" w:color="auto"/>
      </w:divBdr>
    </w:div>
    <w:div w:id="1187134031">
      <w:bodyDiv w:val="1"/>
      <w:marLeft w:val="0"/>
      <w:marRight w:val="0"/>
      <w:marTop w:val="0"/>
      <w:marBottom w:val="0"/>
      <w:divBdr>
        <w:top w:val="none" w:sz="0" w:space="0" w:color="auto"/>
        <w:left w:val="none" w:sz="0" w:space="0" w:color="auto"/>
        <w:bottom w:val="none" w:sz="0" w:space="0" w:color="auto"/>
        <w:right w:val="none" w:sz="0" w:space="0" w:color="auto"/>
      </w:divBdr>
    </w:div>
    <w:div w:id="1386296349">
      <w:bodyDiv w:val="1"/>
      <w:marLeft w:val="0"/>
      <w:marRight w:val="0"/>
      <w:marTop w:val="0"/>
      <w:marBottom w:val="0"/>
      <w:divBdr>
        <w:top w:val="none" w:sz="0" w:space="0" w:color="auto"/>
        <w:left w:val="none" w:sz="0" w:space="0" w:color="auto"/>
        <w:bottom w:val="none" w:sz="0" w:space="0" w:color="auto"/>
        <w:right w:val="none" w:sz="0" w:space="0" w:color="auto"/>
      </w:divBdr>
    </w:div>
    <w:div w:id="1447771975">
      <w:bodyDiv w:val="1"/>
      <w:marLeft w:val="0"/>
      <w:marRight w:val="0"/>
      <w:marTop w:val="0"/>
      <w:marBottom w:val="0"/>
      <w:divBdr>
        <w:top w:val="none" w:sz="0" w:space="0" w:color="auto"/>
        <w:left w:val="none" w:sz="0" w:space="0" w:color="auto"/>
        <w:bottom w:val="none" w:sz="0" w:space="0" w:color="auto"/>
        <w:right w:val="none" w:sz="0" w:space="0" w:color="auto"/>
      </w:divBdr>
    </w:div>
    <w:div w:id="1455170386">
      <w:bodyDiv w:val="1"/>
      <w:marLeft w:val="0"/>
      <w:marRight w:val="0"/>
      <w:marTop w:val="0"/>
      <w:marBottom w:val="0"/>
      <w:divBdr>
        <w:top w:val="none" w:sz="0" w:space="0" w:color="auto"/>
        <w:left w:val="none" w:sz="0" w:space="0" w:color="auto"/>
        <w:bottom w:val="none" w:sz="0" w:space="0" w:color="auto"/>
        <w:right w:val="none" w:sz="0" w:space="0" w:color="auto"/>
      </w:divBdr>
    </w:div>
    <w:div w:id="1477455655">
      <w:bodyDiv w:val="1"/>
      <w:marLeft w:val="0"/>
      <w:marRight w:val="0"/>
      <w:marTop w:val="0"/>
      <w:marBottom w:val="0"/>
      <w:divBdr>
        <w:top w:val="none" w:sz="0" w:space="0" w:color="auto"/>
        <w:left w:val="none" w:sz="0" w:space="0" w:color="auto"/>
        <w:bottom w:val="none" w:sz="0" w:space="0" w:color="auto"/>
        <w:right w:val="none" w:sz="0" w:space="0" w:color="auto"/>
      </w:divBdr>
    </w:div>
    <w:div w:id="1497067643">
      <w:bodyDiv w:val="1"/>
      <w:marLeft w:val="0"/>
      <w:marRight w:val="0"/>
      <w:marTop w:val="0"/>
      <w:marBottom w:val="0"/>
      <w:divBdr>
        <w:top w:val="none" w:sz="0" w:space="0" w:color="auto"/>
        <w:left w:val="none" w:sz="0" w:space="0" w:color="auto"/>
        <w:bottom w:val="none" w:sz="0" w:space="0" w:color="auto"/>
        <w:right w:val="none" w:sz="0" w:space="0" w:color="auto"/>
      </w:divBdr>
    </w:div>
    <w:div w:id="1552963917">
      <w:bodyDiv w:val="1"/>
      <w:marLeft w:val="0"/>
      <w:marRight w:val="0"/>
      <w:marTop w:val="0"/>
      <w:marBottom w:val="0"/>
      <w:divBdr>
        <w:top w:val="none" w:sz="0" w:space="0" w:color="auto"/>
        <w:left w:val="none" w:sz="0" w:space="0" w:color="auto"/>
        <w:bottom w:val="none" w:sz="0" w:space="0" w:color="auto"/>
        <w:right w:val="none" w:sz="0" w:space="0" w:color="auto"/>
      </w:divBdr>
    </w:div>
    <w:div w:id="1602255687">
      <w:bodyDiv w:val="1"/>
      <w:marLeft w:val="0"/>
      <w:marRight w:val="0"/>
      <w:marTop w:val="0"/>
      <w:marBottom w:val="0"/>
      <w:divBdr>
        <w:top w:val="none" w:sz="0" w:space="0" w:color="auto"/>
        <w:left w:val="none" w:sz="0" w:space="0" w:color="auto"/>
        <w:bottom w:val="none" w:sz="0" w:space="0" w:color="auto"/>
        <w:right w:val="none" w:sz="0" w:space="0" w:color="auto"/>
      </w:divBdr>
    </w:div>
    <w:div w:id="1626161652">
      <w:bodyDiv w:val="1"/>
      <w:marLeft w:val="0"/>
      <w:marRight w:val="0"/>
      <w:marTop w:val="0"/>
      <w:marBottom w:val="0"/>
      <w:divBdr>
        <w:top w:val="none" w:sz="0" w:space="0" w:color="auto"/>
        <w:left w:val="none" w:sz="0" w:space="0" w:color="auto"/>
        <w:bottom w:val="none" w:sz="0" w:space="0" w:color="auto"/>
        <w:right w:val="none" w:sz="0" w:space="0" w:color="auto"/>
      </w:divBdr>
    </w:div>
    <w:div w:id="1666516081">
      <w:bodyDiv w:val="1"/>
      <w:marLeft w:val="0"/>
      <w:marRight w:val="0"/>
      <w:marTop w:val="0"/>
      <w:marBottom w:val="0"/>
      <w:divBdr>
        <w:top w:val="none" w:sz="0" w:space="0" w:color="auto"/>
        <w:left w:val="none" w:sz="0" w:space="0" w:color="auto"/>
        <w:bottom w:val="none" w:sz="0" w:space="0" w:color="auto"/>
        <w:right w:val="none" w:sz="0" w:space="0" w:color="auto"/>
      </w:divBdr>
    </w:div>
    <w:div w:id="2059546607">
      <w:bodyDiv w:val="1"/>
      <w:marLeft w:val="0"/>
      <w:marRight w:val="0"/>
      <w:marTop w:val="0"/>
      <w:marBottom w:val="0"/>
      <w:divBdr>
        <w:top w:val="none" w:sz="0" w:space="0" w:color="auto"/>
        <w:left w:val="none" w:sz="0" w:space="0" w:color="auto"/>
        <w:bottom w:val="none" w:sz="0" w:space="0" w:color="auto"/>
        <w:right w:val="none" w:sz="0" w:space="0" w:color="auto"/>
      </w:divBdr>
    </w:div>
    <w:div w:id="2118981238">
      <w:bodyDiv w:val="1"/>
      <w:marLeft w:val="0"/>
      <w:marRight w:val="0"/>
      <w:marTop w:val="0"/>
      <w:marBottom w:val="0"/>
      <w:divBdr>
        <w:top w:val="none" w:sz="0" w:space="0" w:color="auto"/>
        <w:left w:val="none" w:sz="0" w:space="0" w:color="auto"/>
        <w:bottom w:val="none" w:sz="0" w:space="0" w:color="auto"/>
        <w:right w:val="none" w:sz="0" w:space="0" w:color="auto"/>
      </w:divBdr>
    </w:div>
    <w:div w:id="2122601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825206-191F-4D83-B934-ACCB98DF6F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2904</Words>
  <Characters>16890</Characters>
  <Application>Microsoft Office Word</Application>
  <DocSecurity>4</DocSecurity>
  <Lines>140</Lines>
  <Paragraphs>39</Paragraphs>
  <ScaleCrop>false</ScaleCrop>
  <HeadingPairs>
    <vt:vector size="2" baseType="variant">
      <vt:variant>
        <vt:lpstr>Title</vt:lpstr>
      </vt:variant>
      <vt:variant>
        <vt:i4>1</vt:i4>
      </vt:variant>
    </vt:vector>
  </HeadingPairs>
  <TitlesOfParts>
    <vt:vector size="1" baseType="lpstr">
      <vt:lpstr>ΑΝΩΤΑΤΟ ΔΙΚΑΣΤΗΡΙΟ ΚΥΠΡΟΥ</vt:lpstr>
    </vt:vector>
  </TitlesOfParts>
  <Company/>
  <LinksUpToDate>false</LinksUpToDate>
  <CharactersWithSpaces>19755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ΑΝΩΤΑΤΟ ΔΙΚΑΣΤΗΡΙΟ ΚΥΠΡΟΥ</dc:title>
  <dc:subject/>
  <dc:creator>-</dc:creator>
  <cp:keywords/>
  <cp:lastModifiedBy>Marilia Hadjiprodromou</cp:lastModifiedBy>
  <cp:revision>2</cp:revision>
  <cp:lastPrinted>2024-04-18T06:22:00Z</cp:lastPrinted>
  <dcterms:created xsi:type="dcterms:W3CDTF">2024-04-19T08:34:00Z</dcterms:created>
  <dcterms:modified xsi:type="dcterms:W3CDTF">2024-04-19T08:34:00Z</dcterms:modified>
</cp:coreProperties>
</file>